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Вопросы применения ст. 212 НК РФ</w:t>
      </w:r>
    </w:p>
    <w:p>
      <w:pPr>
        <w:spacing w:after="120"/>
        <w:ind w:firstLine="709"/>
      </w:pPr>
      <w:r>
        <w:rPr>
          <w:sz w:val="24"/>
        </w:rPr>
        <w:t xml:space="preserve">Путеводитель по налогам:</w:t>
      </w:r>
    </w:p>
    <w:p>
      <w:pPr>
        <w:spacing w:after="120"/>
        <w:ind w:firstLine="709"/>
      </w:pPr>
      <w:r>
        <w:rPr>
          <w:sz w:val="24"/>
        </w:rPr>
        <w:t xml:space="preserve">- Облагаются ли НДФЛ доходы физлица от приобретения (продажи) иностранной валюты по курсу ниже (выше) официального</w:t>
      </w:r>
    </w:p>
    <w:p>
      <w:pPr>
        <w:spacing w:after="120"/>
        <w:ind w:firstLine="709"/>
      </w:pPr>
      <w:r>
        <w:rPr>
          <w:sz w:val="24"/>
        </w:rPr>
        <w:t xml:space="preserve">Готовые решения:</w:t>
      </w:r>
    </w:p>
    <w:p>
      <w:pPr>
        <w:spacing w:after="120"/>
        <w:ind w:firstLine="709"/>
      </w:pPr>
      <w:r>
        <w:rPr>
          <w:sz w:val="24"/>
        </w:rPr>
        <w:t xml:space="preserve">- Как облагается НДФЛ материальная выгода при экономии на процентах по займу физлицу</w:t>
      </w:r>
    </w:p>
    <w:p>
      <w:pPr>
        <w:spacing w:after="120"/>
        <w:ind w:firstLine="709"/>
      </w:pPr>
      <w:r>
        <w:rPr>
          <w:sz w:val="24"/>
        </w:rPr>
        <w:t xml:space="preserve">- НДФЛ при выдаче беспроцентного займа учредителю - физлицу</w:t>
      </w:r>
    </w:p>
    <w:p>
      <w:pPr>
        <w:spacing w:after="120"/>
        <w:ind w:firstLine="709"/>
      </w:pPr>
      <w:r>
        <w:rPr>
          <w:sz w:val="24"/>
        </w:rPr>
        <w:t xml:space="preserve">1. Доходом налогоплательщика, полученным в виде материальной выгоды, являются:</w:t>
      </w:r>
    </w:p>
    <w:p>
      <w:pPr>
        <w:spacing w:after="120"/>
        <w:ind w:firstLine="709"/>
      </w:pPr>
      <w:r>
        <w:rPr>
          <w:sz w:val="24"/>
        </w:rPr>
        <w:t xml:space="preserve">1) если иное не предусмотрено настоящим подпунктом, материальная выгода ,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w:t>
      </w:r>
    </w:p>
    <w:p>
      <w:pPr>
        <w:spacing w:after="120"/>
        <w:ind w:firstLine="709"/>
      </w:pPr>
      <w:r>
        <w:rPr>
          <w:sz w:val="24"/>
        </w:rPr>
        <w:t xml:space="preserve">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w:t>
      </w:r>
    </w:p>
    <w:p>
      <w:pPr>
        <w:spacing w:after="120"/>
        <w:ind w:firstLine="709"/>
      </w:pPr>
      <w:r>
        <w:rPr>
          <w:sz w:val="24"/>
        </w:rPr>
        <w:t xml:space="preserve">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w:t>
      </w:r>
    </w:p>
    <w:p>
      <w:pPr>
        <w:spacing w:after="120"/>
        <w:ind w:firstLine="709"/>
      </w:pPr>
      <w:r>
        <w:rPr>
          <w:sz w:val="24"/>
        </w:rPr>
        <w:t xml:space="preserve">такая экономия фактически является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w:t>
      </w:r>
    </w:p>
    <w:p>
      <w:pPr>
        <w:spacing w:after="120"/>
        <w:ind w:firstLine="709"/>
      </w:pPr>
      <w:r>
        <w:rPr>
          <w:sz w:val="24"/>
        </w:rPr>
        <w:t xml:space="preserve">КонсультантПлюс: примечание.</w:t>
      </w:r>
    </w:p>
    <w:p>
      <w:pPr>
        <w:spacing w:after="120"/>
        <w:ind w:firstLine="709"/>
      </w:pPr>
      <w:r>
        <w:rPr>
          <w:sz w:val="24"/>
        </w:rPr>
        <w:t xml:space="preserve">Абз. 5 - 8 пп. 1 п. 1 ст. 212 (в ред. ФЗ от 08.08.2024 N 259-ФЗ) распространяются на доходы, полученные начиная с 01.01.2024. Об освобождении от НДФЛ материальной выгоды от экономии на процентах по заключенному до 31.12.2024 договору займа (кредита) см. ФЗ от 29.10.2024 N 362-ФЗ .</w:t>
      </w:r>
    </w:p>
    <w:p>
      <w:pPr>
        <w:spacing w:after="120"/>
        <w:ind w:firstLine="709"/>
      </w:pPr>
      <w:r>
        <w:rPr>
          <w:sz w:val="24"/>
        </w:rPr>
        <w:t xml:space="preserve">Не признается доходом налогоплательщика, полученным в виде материальной выгоды, полученной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независимо от соблюдения условий, указанных в абзацах втором и третьем настоящего подпункта:</w:t>
      </w:r>
    </w:p>
    <w:p>
      <w:pPr>
        <w:spacing w:after="120"/>
        <w:ind w:firstLine="709"/>
      </w:pPr>
      <w:r>
        <w:rPr>
          <w:sz w:val="24"/>
        </w:rPr>
        <w:t xml:space="preserve">материальная выгода, полученная от банков, находящихся на территории Российской Федерации, в связи с операциями с банковскими картами в течение беспроцентного периода, установленного договором о предоставлении банковской карты;</w:t>
      </w:r>
    </w:p>
    <w:p>
      <w:pPr>
        <w:spacing w:after="120"/>
        <w:ind w:firstLine="709"/>
      </w:pPr>
      <w:r>
        <w:rPr>
          <w:sz w:val="24"/>
        </w:rPr>
        <w:t xml:space="preserve">материальная выгода, полученная от экономии на процентах за пользование заемными (кредитными) средствами в течение льготного периода, установленного в соответствии с законодательством Российской Федерации;</w:t>
      </w:r>
    </w:p>
    <w:p>
      <w:pPr>
        <w:spacing w:after="120"/>
        <w:ind w:firstLine="709"/>
      </w:pPr>
      <w:r>
        <w:rPr>
          <w:sz w:val="24"/>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программ государственной поддержки, предусмотренных законодательными актами Российской Федерации, актами Президента Российской Федерации и (или) актами Правительства Российской Федерации, которыми в том числе определяется порядок возмещения лицам, предоставившим соответствующие средства, недополученных доходов по соответствующим займам (кредитам) (далее в целях настоящей статьи - государственные программы), если иное не установлено настоящим подпунктом.</w:t>
      </w:r>
    </w:p>
    <w:p>
      <w:pPr>
        <w:spacing w:after="120"/>
        <w:ind w:firstLine="709"/>
      </w:pPr>
      <w:r>
        <w:rPr>
          <w:sz w:val="24"/>
        </w:rPr>
        <w:t xml:space="preserve">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процентов по такому договору - на дату последнего такого изменения) и на дату фактического получения налогоплательщиком дохода, превышает сумму процентов, исчисленную исходя из условий договора, признается доходом налогоплательщика в части разницы между суммой процентов, исчисленной исходя из ставки, предусмотренной соответствующей государственной программой, и суммой процентов, исчисленной исходя из условий договора;</w:t>
      </w:r>
    </w:p>
    <w:p>
      <w:pPr>
        <w:spacing w:after="120"/>
        <w:ind w:firstLine="709"/>
      </w:pPr>
      <w:r>
        <w:rPr>
          <w:sz w:val="24"/>
        </w:rPr>
        <w:t xml:space="preserve">(пп.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материальная выгода, полученная от приобретения товаров (работ, услуг), цифровой валюты, цифровых финансовых активов и (или) цифровых прав, включающих одновременно цифровые финансовые активы и утилитарные цифровые права, в соответствии с гражданско-правовым договором у физических лиц, организаций и индивидуальных предпринимателей, являющихся взаимозависимыми по отношению к налогоплательщику;</w:t>
      </w:r>
    </w:p>
    <w:p>
      <w:pPr>
        <w:spacing w:after="120"/>
        <w:ind w:firstLine="709"/>
      </w:pPr>
      <w:r>
        <w:rPr>
          <w:sz w:val="24"/>
        </w:rPr>
        <w:t xml:space="preserve">(в ред. Федеральных законов от 14.07.2022 N 324-ФЗ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3) материальная выгода , полученная от приобретения долей участия в уставном капитале, ценных бумаг, производных финансовых инструментов (в том числе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за исключением государственных ценных бумаг Российской Федерации, государственных ценных бумаг субъектов Российской Федерации, муниципальных ценных бумаг в случае приобретения таких государственных и муниципальных ценных бумаг при первичном размещении эмитентом и ценных бумаг (долей участия в уставном капитале), приобретенных у контролируемой иностранной компании налогоплательщиком, признаваемым контролирующим лицом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(долей участия в уставном капитале) и расходы в виде цены приобретения ценных бумаг (долей участия в уставном капитале) исключаются из прибыли (убытка) этой иностранной компании на основании пункта 10 статьи 309.1 настоящего Кодекса.</w:t>
      </w:r>
    </w:p>
    <w:p>
      <w:pPr>
        <w:spacing w:after="120"/>
        <w:ind w:firstLine="709"/>
      </w:pPr>
      <w:r>
        <w:rPr>
          <w:sz w:val="24"/>
        </w:rPr>
        <w:t xml:space="preserve">(в ред. Федеральных законов от 14.07.2022 N 324-ФЗ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При получении налогоплательщиком дохода в виде материальной выгоды, указанной в подпункте 1 пункта 1 настоящей статьи, налоговая база определяется как:</w:t>
      </w:r>
    </w:p>
    <w:p>
      <w:pPr>
        <w:spacing w:after="120"/>
        <w:ind w:firstLine="709"/>
      </w:pPr>
      <w:r>
        <w:rPr>
          <w:sz w:val="24"/>
        </w:rPr>
        <w:t xml:space="preserve">1) превышение суммы процентов за пользование заемными (кредитными) средствами, выраженными в рублях, исчисленной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заемных (кредитных) средств (в случае изменения ставки процентов по такому договору - на дату последнего соответствующего изменения) и на дату фактического получения налогоплательщиком дохода, над суммой процентов, исчисленной исходя из условий такого договора, если иное не установлено настоящим подпунктом.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база по доходу в виде материальной выгоды, указанной в абзаце девятом подпункта 1 пункта 1 настоящей статьи, определяется как превышение суммы процентов за пользование заемными (кредитными) средствами, исчисленной исходя из ставки, предусмотренной соответствующей государственной программой, над суммой процентов, исчисленной исходя из условий договора;</w:t>
      </w:r>
    </w:p>
    <w:p>
      <w:pPr>
        <w:spacing w:after="120"/>
        <w:ind w:firstLine="709"/>
      </w:pPr>
      <w:r>
        <w:rPr>
          <w:sz w:val="24"/>
        </w:rPr>
        <w:t xml:space="preserve">(пп.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превышение суммы процентов за пользование заемными (кредитными) средствами, выраженными в иностранной валюте, исчисленной исходя из 9 процентов годовых, над суммой процентов, исчисленной исходя из условий договора.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Определение налоговой базы при получении дохода в виде материальной выгоды, полученной от экономии на процентах при получении заемных (кредитных) средств, исчисление, удержание и перечисление налога осуществляются налоговым агентом в порядке, установленном настоящим Кодексом.</w:t>
      </w:r>
    </w:p>
    <w:p>
      <w:pPr>
        <w:spacing w:after="120"/>
        <w:ind w:firstLine="709"/>
      </w:pPr>
      <w:r>
        <w:rPr>
          <w:sz w:val="24"/>
        </w:rPr>
        <w:t xml:space="preserve">(в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3. При получении налогоплательщиком дохода в виде материальной выгоды от приобретения товаров (работ, услуг), указанной в подпункте 2 пункта 1 настоящей статьи, налоговая база определяется как превышение цены идентичных ( однородных ) товаров (работ, услуг), реализуемых лицами, являющимися взаимозависимыми по отношению к налогоплательщику, в обычных условиях лицам, не являющимся взаимозависимыми, над ценами реализации идентичных (однородных) товаров (работ, услуг), налогоплательщику.</w:t>
      </w:r>
    </w:p>
    <w:p>
      <w:pPr>
        <w:spacing w:after="120"/>
        <w:ind w:firstLine="709"/>
      </w:pPr>
      <w:r>
        <w:rPr>
          <w:sz w:val="24"/>
        </w:rPr>
        <w:t xml:space="preserve">При получении налогоплательщиком дохода в виде материальной выгоды от приобретения цифровых финансовых активов и (или) цифровых прав, включающих одновременно цифровые финансовые активы и утилитарные цифровые права, указанной в подпункте 2 пункта 1 настоящей статьи, налоговая база определяется как превышение цены таких цифровых финансовых активов и (или) цифровых прав, определенной в порядке, предусмотренном статьей 105.3 настоящего Кодекса, над ценой реализации таких цифровых финансовых активов и (или) цифровых прав, включающих одновременно цифровые финансовые активы и утилитарные цифровые права, налогоплательщику.</w:t>
      </w:r>
    </w:p>
    <w:p>
      <w:pPr>
        <w:spacing w:after="120"/>
        <w:ind w:firstLine="709"/>
      </w:pPr>
      <w:r>
        <w:rPr>
          <w:sz w:val="24"/>
        </w:rPr>
        <w:t xml:space="preserve">При получении налогоплательщиком дохода в виде материальной выгоды от приобретения цифровой валюты, указанной в подпункте 2 пункта 1 настоящей статьи, налоговая база определяется как превышение стоимости цифровой валюты, определенной в порядке, установленном пунктом 1 статьи 211 настоящего Кодекса, над суммой фактических расходов налогоплательщика на ее приобретение.</w:t>
      </w:r>
    </w:p>
    <w:p>
      <w:pPr>
        <w:spacing w:after="120"/>
        <w:ind w:firstLine="709"/>
      </w:pPr>
      <w:r>
        <w:rPr>
          <w:sz w:val="24"/>
        </w:rPr>
        <w:t xml:space="preserve">(абзац введен Федеральным законом от 29.11.2024 N 418-ФЗ)</w:t>
      </w:r>
    </w:p>
    <w:p>
      <w:pPr>
        <w:spacing w:after="120"/>
        <w:ind w:firstLine="709"/>
      </w:pPr>
      <w:r>
        <w:rPr>
          <w:sz w:val="24"/>
        </w:rPr>
        <w:t xml:space="preserve">(п. 3 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4. При получении налогоплательщиком дохода в виде материальной выгоды, указанной в подпункте 3 пункта 1 настоящей статьи, налоговая база определяется как превышение рыночной стоимости ценных бумаг, производных финансовых инструментов, долей участия в уставном капитале над суммой фактических расходов налогоплательщика на их приобретение.</w:t>
      </w:r>
    </w:p>
    <w:p>
      <w:pPr>
        <w:spacing w:after="120"/>
        <w:ind w:firstLine="709"/>
      </w:pPr>
      <w:r>
        <w:rPr>
          <w:sz w:val="24"/>
        </w:rPr>
        <w:t xml:space="preserve">(в ред. Федеральных законов от 03.07.2016 N 242-ФЗ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оплату размещаемых (выдаваемых) акций эмитенту таких ценных бумаг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акций над рыночной стоимостью акций (долей участия), переданных в оплату приобретенных акций, на момент такой передачи. В случае, если в качестве взноса в уставный капитал при учреждении российского общества или при увеличении его уставного капитала этому обществу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долей участия в уставном капитале над рыночной стоимостью переданных акций (долей участия в уставном капитале) на момент такой передачи.</w:t>
      </w:r>
    </w:p>
    <w:p>
      <w:pPr>
        <w:spacing w:after="120"/>
        <w:ind w:firstLine="709"/>
      </w:pPr>
      <w:r>
        <w:rPr>
          <w:sz w:val="24"/>
        </w:rPr>
        <w:t xml:space="preserve">(абзац введен Федеральным законом от 02.07.2021 N 305-ФЗ;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расходами на приобретение долей участия в уставном капитале, ценных бумаг, полученных в результате их мены на цифровые финансовые активы и (или) цифровые права, включающие одновременно цифровые финансовые активы и утилитарные цифровые права, признаются предусмотренные пунктом 3 статьи 214.11 настоящего Кодекса расходы по операциям с такими цифровыми финансовыми активами и (или) цифровыми правами, в результате мены которых были получены соответствующие ценные бумаги.</w:t>
      </w:r>
    </w:p>
    <w:p>
      <w:pPr>
        <w:spacing w:after="120"/>
        <w:ind w:firstLine="709"/>
      </w:pPr>
      <w:r>
        <w:rPr>
          <w:sz w:val="24"/>
        </w:rPr>
        <w:t xml:space="preserve">(абзац введен Федеральным законом от 14.07.2022 N 324-ФЗ;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в расходы на приобретение ценных бумаг, являющихся базисным активом опционного контракта, включаются суммы, уплаченные продавцу за ценные бумаги в соответствии с таким контрактом, а также уплаченные суммы премии и вариационной маржи по опционным контрактам.</w:t>
      </w:r>
    </w:p>
    <w:p>
      <w:pPr>
        <w:spacing w:after="120"/>
        <w:ind w:firstLine="709"/>
      </w:pPr>
      <w:r>
        <w:rPr>
          <w:sz w:val="24"/>
        </w:rPr>
        <w:t xml:space="preserve">Материальная выгода не возникает при приобретении налогоплательщиком ценных бумаг по первой или второй части РЕПО при условии исполнения сторонами обязательств по первой и второй частям РЕПО, а также в случае оформленного надлежащим образом прекращения обязательств по первой или второй части РЕПО по основаниям, отличным от надлежащего исполнения, в том числе зачетом встречных однородных требований, возникших из другой операции РЕПО.</w:t>
      </w:r>
    </w:p>
    <w:p>
      <w:pPr>
        <w:spacing w:after="120"/>
        <w:ind w:firstLine="709"/>
      </w:pPr>
      <w:r>
        <w:rPr>
          <w:sz w:val="24"/>
        </w:rPr>
        <w:t xml:space="preserve">Рыночная стоимость ценных бумаг, обращающихся на организованном рынке ценных бумаг, определяется исходя из их рыночной цены с учетом предельной границы ее колебаний, если иное не установлено настоящей статьей.</w:t>
      </w:r>
    </w:p>
    <w:p>
      <w:pPr>
        <w:spacing w:after="120"/>
        <w:ind w:firstLine="709"/>
      </w:pPr>
      <w:r>
        <w:rPr>
          <w:sz w:val="24"/>
        </w:rPr>
        <w:t xml:space="preserve">Рыночная стоимость ценных бумаг, не обращающихся на организованном рынке ценных бумаг, определяется исходя из расчетной цены ценных бумаг с учетом предельной границы ее колебаний, если иное не установлено настоящей статьей.</w:t>
      </w:r>
    </w:p>
    <w:p>
      <w:pPr>
        <w:spacing w:after="120"/>
        <w:ind w:firstLine="709"/>
      </w:pPr>
      <w:r>
        <w:rPr>
          <w:sz w:val="24"/>
        </w:rPr>
        <w:t xml:space="preserve">Рыночная стоимость ценных бумаг, обращающихся и не обращающихся на организованном рынке ценных бумаг, определяется на дату совершения сделки.</w:t>
      </w:r>
    </w:p>
    <w:p>
      <w:pPr>
        <w:spacing w:after="120"/>
        <w:ind w:firstLine="709"/>
      </w:pPr>
      <w:r>
        <w:rPr>
          <w:sz w:val="24"/>
        </w:rPr>
        <w:t xml:space="preserve">(абзац введен Федеральным законом от 28.12.2010 N 395-ФЗ)</w:t>
      </w:r>
    </w:p>
    <w:p>
      <w:pPr>
        <w:spacing w:after="120"/>
        <w:ind w:firstLine="709"/>
      </w:pPr>
      <w:r>
        <w:rPr>
          <w:sz w:val="24"/>
        </w:rPr>
        <w:t xml:space="preserve">Порядок определения рыночной цены ценных бумаг, расчетной цены ценных бумаг, а также порядок определения предельной границы колебаний рыночной цены устанавливаются в целях настоящей главы Центральным банком Российской Федерации по согласованию с Министерством финансов Российской Федерации с учетом положений настоящего пункта.</w:t>
      </w:r>
    </w:p>
    <w:p>
      <w:pPr>
        <w:spacing w:after="120"/>
        <w:ind w:firstLine="709"/>
      </w:pPr>
      <w:r>
        <w:rPr>
          <w:sz w:val="24"/>
        </w:rPr>
        <w:t xml:space="preserve">(в ред. Федерального закона от 23.07.2013 N 251-ФЗ)</w:t>
      </w:r>
    </w:p>
    <w:p>
      <w:pPr>
        <w:spacing w:after="120"/>
        <w:ind w:firstLine="709"/>
      </w:pPr>
      <w:r>
        <w:rPr>
          <w:sz w:val="24"/>
        </w:rPr>
        <w:t xml:space="preserve">(см. текст в предыдущей редакции )</w:t>
      </w:r>
    </w:p>
    <w:p>
      <w:pPr>
        <w:spacing w:after="120"/>
        <w:ind w:firstLine="709"/>
      </w:pPr>
      <w:r>
        <w:rPr>
          <w:sz w:val="24"/>
        </w:rPr>
        <w:t xml:space="preserve">Расчетной ценой инвестиционного пая закрытого инвестиционного фонда (интервального паевого инвестиционного фонда), не обращающегося на организованном рынке ценных бумаг,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расчетной цены ценных бумаг.</w:t>
      </w:r>
    </w:p>
    <w:p>
      <w:pPr>
        <w:spacing w:after="120"/>
        <w:ind w:firstLine="709"/>
      </w:pPr>
      <w:r>
        <w:rPr>
          <w:sz w:val="24"/>
        </w:rPr>
        <w:t xml:space="preserve">Рыночной стоимостью инвестиционного пая паевого инвестиционного фонда (обращающегося и не обращающегося на организованном рынке ценных бумаг) в случае его приобретения у управляющей компании, осуществляющей доверительное управление имуществом, составляющим соответствующий паевой инвестиционный фонд, признается последняя расчетная стоимость инвестиционного пая, определенная указанной управляющей компанией в соответствии с законодательством Российской Федерации об инвестиционных фондах, без учета предельной границы колебаний рыночной или расчетной цены ценных бумаг.</w:t>
      </w:r>
    </w:p>
    <w:p>
      <w:pPr>
        <w:spacing w:after="120"/>
        <w:ind w:firstLine="709"/>
      </w:pPr>
      <w:r>
        <w:rPr>
          <w:sz w:val="24"/>
        </w:rPr>
        <w:t xml:space="preserve">Если в соответствии с законодательством Российской Федерации об инвестиционных фондах выдача инвестиционного пая паевого инвестиционного фонда, ограниченного в обороте, осуществляется не по расчетной стоимости инвестиционного пая, рыночной стоимостью такого инвестиционного пая признается сумма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pPr>
        <w:spacing w:after="120"/>
        <w:ind w:firstLine="709"/>
      </w:pPr>
      <w:r>
        <w:rPr>
          <w:sz w:val="24"/>
        </w:rPr>
        <w:t xml:space="preserve">Рыночной стоимостью инвестиционного пая открытого паевого инвестиционного фонда признается последняя расчетная стоимость инвестиционного пая, определенная управляющей компанией, осуществляющей доверительное управление имуществом, составляющим соответствующий открытый паевой инвестиционный фонд, в соответствии с законодательством Российской Федерации об инвестиционных фондах, без учета предельной границы колебаний рыночной цены ценных бумаг.</w:t>
      </w:r>
    </w:p>
    <w:p>
      <w:pPr>
        <w:spacing w:after="120"/>
        <w:ind w:firstLine="709"/>
      </w:pPr>
      <w:r>
        <w:rPr>
          <w:sz w:val="24"/>
        </w:rPr>
        <w:t xml:space="preserve">Рыночная стоимость производных финансовых инструментов, обращающихся на организованном рынке, определяется в соответствии с пунктом 1 статьи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Рыночная стоимость производных финансовых инструментов, не обращающихся на организованном рынке, определяется в соответствии с пунктом 2 статьи 305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Рыночная стоимость доли участия в уставном капитале общества определяется в соответствующей доле стоимости чистых активов общества на последнюю отчетную дату.</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212</dc:title>
  <dc:creator>АРБИТРАЖ! · arbi.ru</dc:creator>
  <cp:lastModifiedBy>АРБИТРАЖ!</cp:lastModifiedBy>
  <dcterms:created xsi:type="dcterms:W3CDTF">2026-10-22T20:19:42.957Z</dcterms:created>
</cp:coreProperties>
</file>