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220.1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25.11.2009 N 281-ФЗ)</w:t>
      </w:r>
    </w:p>
    <w:p>
      <w:pPr>
        <w:spacing w:after="120"/>
        <w:ind w:firstLine="709"/>
      </w:pPr>
      <w:r>
        <w:rPr>
          <w:sz w:val="24"/>
        </w:rPr>
        <w:t xml:space="preserve">1. В случаях , предусмотренных настоящей главой,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бумагами, обращающимися на организованном рынке ценных бумаг, и с производными финансовыми инструментами, обращающимися на организованном рынке.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Перенос на будущие периоды убытков от операций с ценными бумагами и операций с производными финансовыми инструментами осуществляется в соответствии с пунктом 16 статьи 214.1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395-ФЗ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вычеты при переносе на будущие периоды убытков от операций с ценными бумагами и операций с производными финансовыми инструментами предоставляются: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размере сумм убытков, полученных от операций с ценными бумагами, обращающимися на организованном рынке ценных бумаг. Указанный налоговый вычет предоставляется в размере сумм убытков, фактически полученных налогоплательщиком от операций с ценными бумагами, обращающимися на организованном рынке ценных бумаг, в предыдущих налоговых периодах в пределах размера налоговой базы по таким операциям;</w:t>
      </w:r>
    </w:p>
    <w:p>
      <w:pPr>
        <w:spacing w:after="120"/>
        <w:ind w:firstLine="709"/>
      </w:pPr>
      <w:r>
        <w:rPr>
          <w:sz w:val="24"/>
        </w:rPr>
        <w:t xml:space="preserve">2) в размере сумм убытков, полученных от операций с производными финансовыми инструментами, обращающимися на организованном рынке. Указанный налоговый вычет предоставляется в размере сумм убытков, фактически полученных налогоплательщиком от операций с производными финансовыми инструментами, обращающимися на организованном рынке, в предыдущих налоговых периодах в пределах размера налоговой базы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Размер налоговых вычетов, предусмотренных настоящей статьей, определяется исходя из сумм убытков, полученных налогоплательщиком в предыдущих налоговых периодах (в течение 10 лет считая с налогового периода, за который производится определение налоговой базы). При этом при определении размера налогового вычета в налоговом периоде, за который производится определение налоговой базы, суммы убытков, полученных налогоплательщиком в течение более чем одного налогового периода, учитываются в той очередности, в которой понесены соответствующие убытки.</w:t>
      </w:r>
    </w:p>
    <w:p>
      <w:pPr>
        <w:spacing w:after="120"/>
        <w:ind w:firstLine="709"/>
      </w:pPr>
      <w:r>
        <w:rPr>
          <w:sz w:val="24"/>
        </w:rPr>
        <w:t xml:space="preserve">Размер предусмотренных настоящей статьей налоговых вычетов, исчисленный в текущем налоговом периоде, не может превышать величину налоговой базы, определенную по соответствующим операциям в этом налоговом периоде. При этом суммы убытков налогоплательщика, не учтенные при определении размера налогового вычета, могут быть учтены при определении размера налогового вычета в следующих налоговых периодах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Для подтверждения права на налоговые вычеты при переносе на будущие периоды убытков от операций с ценными бумагами и операций с производными финансовыми инструментами налогоплательщик представляет документы, подтверждающие объем понесенного убытка в течение всего срока, когда он уменьшает налоговую базу текущего налогового периода на суммы ранее полученных убытков.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Налоговый вычет предоставляется налогоплательщику при представлении налоговой декларации в налоговые органы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Положения настоящей статьи не применяются к отрицательному финансовому результату (убытку), полученному по операциям, учитываемым на индивидуальном инвестиционном счете.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28.11.2015 N 327-ФЗ)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220.1</dc:title>
  <dc:creator>АРБИТРАЖ! · arbi.ru</dc:creator>
  <cp:lastModifiedBy>АРБИТРАЖ!</cp:lastModifiedBy>
  <dcterms:created xsi:type="dcterms:W3CDTF">2026-10-22T22:34:20.620Z</dcterms:created>
</cp:coreProperties>
</file>