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220.2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1. В случаях , предусмотренных настоящей главой, при определении размера налоговых баз налогоплательщик имеет право на получение налоговых вычетов при переносе на будущие периоды убытков от участия в инвестиционном товариществе.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Перенос на будущие периоды убытков от участия в инвестиционном товариществе осуществляется в соответствии с пунктом 10 статьи 214.5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Налоговые вычеты при переносе на будущие периоды убытков от участия в инвестиционном товариществе предоставляются:</w:t>
      </w:r>
    </w:p>
    <w:p>
      <w:pPr>
        <w:spacing w:after="120"/>
        <w:ind w:firstLine="709"/>
      </w:pPr>
      <w:r>
        <w:rPr>
          <w:sz w:val="24"/>
        </w:rPr>
        <w:t xml:space="preserve">в размере сумм убытков, полученных от операций инвестиционных товариществ, в которых участвует налогоплательщик, с ценными бумагами, обращающимися на организованном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в размере сумм убытков, полученных от операций инвестиционных товариществ, в которых участвует налогоплательщик, с ценными бумагами, не обращающимися на организованном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в размере сумм убытков, полученных от операций инвестиционных товариществ, в которых участвует налогоплательщик, с производными финансовыми инструментами, не обращающимися на организованном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размере сумм убытков, полученных от операций инвестиционных товариществ, в которых участвует налогоплательщик, с долями участия в уставном капитале организаций;</w:t>
      </w:r>
    </w:p>
    <w:p>
      <w:pPr>
        <w:spacing w:after="120"/>
        <w:ind w:firstLine="709"/>
      </w:pPr>
      <w:r>
        <w:rPr>
          <w:sz w:val="24"/>
        </w:rPr>
        <w:t xml:space="preserve">в размере сумм убытков, полученных от прочих операций инвестиционных товариществ, в которых участвует налогоплательщик.</w:t>
      </w:r>
    </w:p>
    <w:p>
      <w:pPr>
        <w:spacing w:after="120"/>
        <w:ind w:firstLine="709"/>
      </w:pPr>
      <w:r>
        <w:rPr>
          <w:sz w:val="24"/>
        </w:rPr>
        <w:t xml:space="preserve">Указанные налоговые вычеты предоставляются в размере сумм убытков, фактически полученных налогоплательщиком от соответствующих операций инвестиционного товарищества, в предыдущих налоговых периодах в пределах величины налоговой базы по таким операциям.</w:t>
      </w:r>
    </w:p>
    <w:p>
      <w:pPr>
        <w:spacing w:after="120"/>
        <w:ind w:firstLine="709"/>
      </w:pPr>
      <w:r>
        <w:rPr>
          <w:sz w:val="24"/>
        </w:rPr>
        <w:t xml:space="preserve">3. Размер налоговых вычетов, предусмотренных настоящей статьей, определяется исходя из сумм убытков, полученных налогоплательщиком в предыдущих налоговых периодах (в течение десяти лет считая с налогового периода, за который производится определение налоговой базы). При этом при определении размера налогового вычета в налоговом периоде, за который производится определение налоговой базы, суммы убытков, полученных налогоплательщиком в течение более чем одного налогового периода, учитываются в той очередности, в которой понесены соответствующие убытки.</w:t>
      </w:r>
    </w:p>
    <w:p>
      <w:pPr>
        <w:spacing w:after="120"/>
        <w:ind w:firstLine="709"/>
      </w:pPr>
      <w:r>
        <w:rPr>
          <w:sz w:val="24"/>
        </w:rPr>
        <w:t xml:space="preserve">Размер предусмотренных настоящей статьей налоговых вычетов, исчисленный в текущем налоговом периоде, не может превышать величину налоговой базы, определенную по соответствующим операциям в этом налоговом периоде. При этом суммы убытков налогоплательщика, не учтенные при определении размера налогового вычета, могут быть учтены при определении размера налогового вычета в следующих налоговых периодах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документы, подтверждающие объем понесенного убытка в течение всего срока, когда он уменьшает налоговую базу текущего налогового периода на суммы ранее полученных убытков.</w:t>
      </w:r>
    </w:p>
    <w:p>
      <w:pPr>
        <w:spacing w:after="120"/>
        <w:ind w:firstLine="709"/>
      </w:pPr>
      <w:r>
        <w:rPr>
          <w:sz w:val="24"/>
        </w:rPr>
        <w:t xml:space="preserve">5. Налоговый вычет предоставляется налогоплательщику при представлении налоговой декларации в налоговые органы по окончании налогового периода.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220.2</dc:title>
  <dc:creator>АРБИТРАЖ! · arbi.ru</dc:creator>
  <cp:lastModifiedBy>АРБИТРАЖ!</cp:lastModifiedBy>
  <dcterms:created xsi:type="dcterms:W3CDTF">2026-10-22T08:59:32.294Z</dcterms:created>
</cp:coreProperties>
</file>