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221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23. Налог на доходы физических лиц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налогам. Вопросы применения ст. 221 НК РФ</w:t>
      </w:r>
    </w:p>
    <w:p>
      <w:pPr>
        <w:spacing w:after="120"/>
        <w:ind w:firstLine="709"/>
      </w:pPr>
      <w:r>
        <w:rPr>
          <w:sz w:val="24"/>
        </w:rPr>
        <w:t xml:space="preserve">- Может ли физлицо (не ИП) для целей исчисления НДФЛ применить профессиональные вычеты к доходам от сдачи в аренду имущества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221 НК РФ</w:t>
      </w:r>
    </w:p>
    <w:p>
      <w:pPr>
        <w:spacing w:after="120"/>
        <w:ind w:firstLine="709"/>
      </w:pPr>
      <w:r>
        <w:rPr>
          <w:sz w:val="24"/>
        </w:rPr>
        <w:t xml:space="preserve">В случаях , предусмотренных настоящей главой, при определении размера налоговых баз право на получение профессиональных налоговых вычетов имеют следующие категории налогоплательщиков: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12.07.2024 N 176-ФЗ)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налогоплательщики, указанные в пункте 1 статьи 227 настоящего Кодекса, - в сумме фактически произведенных ими и документально подтвержденных расходов, непосредственно связанных с извлечением доходов, но не более суммы таких доходов от осуществления предпринимательской деятельности.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23.11.2020 N 372-ФЗ)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этом состав указанных расходов, принимаемых к вычету, определяется налогоплательщиком самостоятельно в порядке, аналогичном порядку определения расходов для целей налогообложения, установленному главой "Налог на прибыль организаций".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29.05.2002 N 57-ФЗ , от 02.11.2004 N 127-ФЗ , от 28.12.2010 N 395-ФЗ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Суммы налога на имущество физических лиц, уплаченного налогоплательщиками, указанными в настоящем подпункте, принимаются к вычету в том случае, если это имущество, являющееся объектом налогообложения в соответствии со статьями главы "Налог на имущество физических лиц" (за исключением жилых домов, квартир, садовых домов и гаражей), непосредственно используется для осуществления предпринимательской деятельности.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29.09.2019 N 321-ФЗ)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Абз. 4 п. 1 ст. 221 (в ред. ФЗ от 08.08.2024 N 259-ФЗ) распространяется на правоотношения при определении налоговой базы по НДФЛ за налоговый период начиная с 2024 года.</w:t>
      </w:r>
    </w:p>
    <w:p>
      <w:pPr>
        <w:spacing w:after="120"/>
        <w:ind w:firstLine="709"/>
      </w:pPr>
      <w:r>
        <w:rPr>
          <w:sz w:val="24"/>
        </w:rPr>
        <w:t xml:space="preserve">Если налогоплательщики не в состоянии документально подтвердить свои расходы, связанные с деятельностью в качестве индивидуальных предпринимателей, профессиональный налоговый вычет производится в размере 20 процентов общей суммы доходов, полученной индивидуальным предпринимателем от предпринимательской деятельности.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08.08.2024 N 259-ФЗ)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Абз. 5 п. 1 ст. 221 (в ред. ФЗ от 08.08.2024 N 259-ФЗ) распространяется на правоотношения при определении налоговой базы по НДФЛ за налоговый период начиная с 2024 года.</w:t>
      </w:r>
    </w:p>
    <w:p>
      <w:pPr>
        <w:spacing w:after="120"/>
        <w:ind w:firstLine="709"/>
      </w:pPr>
      <w:r>
        <w:rPr>
          <w:sz w:val="24"/>
        </w:rPr>
        <w:t xml:space="preserve">Положения настоящего пункта применяются также в отношении физических лиц, осуществляющих предпринимательскую деятельность без образования юридического лица, но не зарегистрированных в качестве индивидуальных предпринимателей;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08.08.2024 N 259-ФЗ)</w:t>
      </w:r>
    </w:p>
    <w:p>
      <w:pPr>
        <w:spacing w:after="120"/>
        <w:ind w:firstLine="709"/>
      </w:pPr>
      <w:r>
        <w:rPr>
          <w:sz w:val="24"/>
        </w:rPr>
        <w:t xml:space="preserve">2) налогоплательщики, получающие доходы от выполнения работ (оказания услуг) по договорам гражданско-правового характера, - в сумме фактически произведенных ими и документально подтвержденных расходов, непосредственно связанных с выполнением этих работ (оказанием услуг);</w:t>
      </w:r>
    </w:p>
    <w:p>
      <w:pPr>
        <w:spacing w:after="120"/>
        <w:ind w:firstLine="709"/>
      </w:pPr>
      <w:r>
        <w:rPr>
          <w:sz w:val="24"/>
        </w:rPr>
        <w:t xml:space="preserve">3) налогоплательщики, получающие авторские вознаграждения или вознаграждения за создание, исполнение или иное использование произведений науки, литературы, искусства, за создание иных результатов интеллектуальной деятельности, вознаграждения патентообладателям изобретений, полезных моделей, промышленных образцов, в сумме фактически произведенных и документально подтвержденных расходов.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23.11.2015 N 322-ФЗ)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Если эти расходы не могут быть подтверждены документально, они принимаются к вычету в следующих размерах:</w:t>
      </w:r>
    </w:p>
    <w:p>
      <w:pPr>
        <w:spacing w:after="120"/>
        <w:ind w:firstLine="709"/>
      </w:pPr>
      <w:r>
        <w:rPr>
          <w:sz w:val="24"/>
        </w:rPr>
        <w:t xml:space="preserve">Нормативы затрат (в процентах к сумме начисленного дохода)</w:t>
      </w:r>
    </w:p>
    <w:p>
      <w:pPr>
        <w:spacing w:after="120"/>
        <w:ind w:firstLine="709"/>
      </w:pPr>
      <w:r>
        <w:rPr>
          <w:sz w:val="24"/>
        </w:rPr>
        <w:t xml:space="preserve">1</w:t>
      </w:r>
    </w:p>
    <w:p>
      <w:pPr>
        <w:spacing w:after="120"/>
        <w:ind w:firstLine="709"/>
      </w:pPr>
      <w:r>
        <w:rPr>
          <w:sz w:val="24"/>
        </w:rPr>
        <w:t xml:space="preserve">2</w:t>
      </w:r>
    </w:p>
    <w:p>
      <w:pPr>
        <w:spacing w:after="120"/>
        <w:ind w:firstLine="709"/>
      </w:pPr>
      <w:r>
        <w:rPr>
          <w:sz w:val="24"/>
        </w:rPr>
        <w:t xml:space="preserve">Создание литературных произведений, в том числе для театра, кино, эстрады и цирка</w:t>
      </w:r>
    </w:p>
    <w:p>
      <w:pPr>
        <w:spacing w:after="120"/>
        <w:ind w:firstLine="709"/>
      </w:pPr>
      <w:r>
        <w:rPr>
          <w:sz w:val="24"/>
        </w:rPr>
        <w:t xml:space="preserve">20</w:t>
      </w:r>
    </w:p>
    <w:p>
      <w:pPr>
        <w:spacing w:after="120"/>
        <w:ind w:firstLine="709"/>
      </w:pPr>
      <w:r>
        <w:rPr>
          <w:sz w:val="24"/>
        </w:rPr>
        <w:t xml:space="preserve">Создание художественно-графических произведений, фоторабот для печати, произведений архитектуры и дизайна</w:t>
      </w:r>
    </w:p>
    <w:p>
      <w:pPr>
        <w:spacing w:after="120"/>
        <w:ind w:firstLine="709"/>
      </w:pPr>
      <w:r>
        <w:rPr>
          <w:sz w:val="24"/>
        </w:rPr>
        <w:t xml:space="preserve">30</w:t>
      </w:r>
    </w:p>
    <w:p>
      <w:pPr>
        <w:spacing w:after="120"/>
        <w:ind w:firstLine="709"/>
      </w:pPr>
      <w:r>
        <w:rPr>
          <w:sz w:val="24"/>
        </w:rPr>
        <w:t xml:space="preserve">Создание произведений скульптуры, монументально-декоративной живописи, декоративно-прикладного и оформительского искусства, станковой живописи, театрально- и кинодекорационного искусства и графики, выполненных в различной технике</w:t>
      </w:r>
    </w:p>
    <w:p>
      <w:pPr>
        <w:spacing w:after="120"/>
        <w:ind w:firstLine="709"/>
      </w:pPr>
      <w:r>
        <w:rPr>
          <w:sz w:val="24"/>
        </w:rPr>
        <w:t xml:space="preserve">40</w:t>
      </w:r>
    </w:p>
    <w:p>
      <w:pPr>
        <w:spacing w:after="120"/>
        <w:ind w:firstLine="709"/>
      </w:pPr>
      <w:r>
        <w:rPr>
          <w:sz w:val="24"/>
        </w:rPr>
        <w:t xml:space="preserve">Создание аудиовизуальных произведений (видео-, теле- и кинофильмов)</w:t>
      </w:r>
    </w:p>
    <w:p>
      <w:pPr>
        <w:spacing w:after="120"/>
        <w:ind w:firstLine="709"/>
      </w:pPr>
      <w:r>
        <w:rPr>
          <w:sz w:val="24"/>
        </w:rPr>
        <w:t xml:space="preserve">30</w:t>
      </w:r>
    </w:p>
    <w:p>
      <w:pPr>
        <w:spacing w:after="120"/>
        <w:ind w:firstLine="709"/>
      </w:pPr>
      <w:r>
        <w:rPr>
          <w:sz w:val="24"/>
        </w:rPr>
        <w:t xml:space="preserve">Создание музыкальных произведений: музыкально-сценических произведений (опер, балетов, музыкальных комедий), симфонических, хоровых, камерных произведений, произведений для духового оркестра, оригинальной музыки для кино-, теле- и видеофильмов и театральных постановок</w:t>
      </w:r>
    </w:p>
    <w:p>
      <w:pPr>
        <w:spacing w:after="120"/>
        <w:ind w:firstLine="709"/>
      </w:pPr>
      <w:r>
        <w:rPr>
          <w:sz w:val="24"/>
        </w:rPr>
        <w:t xml:space="preserve">40</w:t>
      </w:r>
    </w:p>
    <w:p>
      <w:pPr>
        <w:spacing w:after="120"/>
        <w:ind w:firstLine="709"/>
      </w:pPr>
      <w:r>
        <w:rPr>
          <w:sz w:val="24"/>
        </w:rPr>
        <w:t xml:space="preserve">других музыкальных произведений, в том числе подготовленных к опубликованию</w:t>
      </w:r>
    </w:p>
    <w:p>
      <w:pPr>
        <w:spacing w:after="120"/>
        <w:ind w:firstLine="709"/>
      </w:pPr>
      <w:r>
        <w:rPr>
          <w:sz w:val="24"/>
        </w:rPr>
        <w:t xml:space="preserve">25</w:t>
      </w:r>
    </w:p>
    <w:p>
      <w:pPr>
        <w:spacing w:after="120"/>
        <w:ind w:firstLine="709"/>
      </w:pPr>
      <w:r>
        <w:rPr>
          <w:sz w:val="24"/>
        </w:rPr>
        <w:t xml:space="preserve">Исполнение произведений литературы и искусства</w:t>
      </w:r>
    </w:p>
    <w:p>
      <w:pPr>
        <w:spacing w:after="120"/>
        <w:ind w:firstLine="709"/>
      </w:pPr>
      <w:r>
        <w:rPr>
          <w:sz w:val="24"/>
        </w:rPr>
        <w:t xml:space="preserve">20</w:t>
      </w:r>
    </w:p>
    <w:p>
      <w:pPr>
        <w:spacing w:after="120"/>
        <w:ind w:firstLine="709"/>
      </w:pPr>
      <w:r>
        <w:rPr>
          <w:sz w:val="24"/>
        </w:rPr>
        <w:t xml:space="preserve">Создание научных трудов и разработок</w:t>
      </w:r>
    </w:p>
    <w:p>
      <w:pPr>
        <w:spacing w:after="120"/>
        <w:ind w:firstLine="709"/>
      </w:pPr>
      <w:r>
        <w:rPr>
          <w:sz w:val="24"/>
        </w:rPr>
        <w:t xml:space="preserve">20</w:t>
      </w:r>
    </w:p>
    <w:p>
      <w:pPr>
        <w:spacing w:after="120"/>
        <w:ind w:firstLine="709"/>
      </w:pPr>
      <w:r>
        <w:rPr>
          <w:sz w:val="24"/>
        </w:rPr>
        <w:t xml:space="preserve">Изобретения, полезные модели и создание промышленных образцов (к сумме дохода, полученного за первые два года использования)</w:t>
      </w:r>
    </w:p>
    <w:p>
      <w:pPr>
        <w:spacing w:after="120"/>
        <w:ind w:firstLine="709"/>
      </w:pPr>
      <w:r>
        <w:rPr>
          <w:sz w:val="24"/>
        </w:rPr>
        <w:t xml:space="preserve">30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24.11.2014 N 367-ФЗ , от 23.11.2015 N 322-ФЗ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целях настоящей статьи к расходам налогоплательщика относятся также суммы налогов, предусмотренных законодательством о налогах и сборах для видов деятельности, указанных в настоящей статье (за исключением налога на доходы физических лиц), начисленные либо уплаченные им за налоговый период в установленном законодательством о налогах и сборах порядке, а также суммы страховых взносов на обязательное пенсионное страхование, страховых взносов на обязательное медицинское страхование, начисленные либо уплаченные им за соответствующий период в установленном настоящим Кодексом порядке.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28.12.2010 N 395-ФЗ , от 03.07.2016 N 243-ФЗ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определении налоговой базы расходы, подтвержденные документально, не могут учитываться одновременно с расходами в пределах установленного норматива.</w:t>
      </w:r>
    </w:p>
    <w:p>
      <w:pPr>
        <w:spacing w:after="120"/>
        <w:ind w:firstLine="709"/>
      </w:pPr>
      <w:r>
        <w:rPr>
          <w:sz w:val="24"/>
        </w:rPr>
        <w:t xml:space="preserve">Налогоплательщики, указанные в настоящей статье, реализуют право на получение профессиональных налоговых вычетов путем подачи письменного заявления налоговому агенту.</w:t>
      </w:r>
    </w:p>
    <w:p>
      <w:pPr>
        <w:spacing w:after="120"/>
        <w:ind w:firstLine="709"/>
      </w:pPr>
      <w:r>
        <w:rPr>
          <w:sz w:val="24"/>
        </w:rPr>
        <w:t xml:space="preserve">При отсутствии налогового агента профессиональные налоговые вычеты предоставляются налогоплательщикам, указанным в настоящей статье, при подаче налоговой декларации по окончании налогового периода.</w:t>
      </w:r>
    </w:p>
    <w:p>
      <w:pPr>
        <w:spacing w:after="120"/>
        <w:ind w:firstLine="709"/>
      </w:pPr>
      <w:r>
        <w:rPr>
          <w:sz w:val="24"/>
        </w:rPr>
        <w:t xml:space="preserve">К указанным расходам налогоплательщика относится также государственная пошлина, которая уплачена в связи с его профессиональной деятельностью.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27.12.2009 N 368-ФЗ)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221</dc:title>
  <dc:creator>АРБИТРАЖ! · arbi.ru</dc:creator>
  <cp:lastModifiedBy>АРБИТРАЖ!</cp:lastModifiedBy>
  <dcterms:created xsi:type="dcterms:W3CDTF">2026-10-23T00:43:33.940Z</dcterms:created>
</cp:coreProperties>
</file>