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Исчисление и уплату налога в соответствии с настоящей статьей производят следующие налогоплательщики:</w:t>
      </w:r>
    </w:p>
    <w:p>
      <w:pPr>
        <w:spacing w:after="120"/>
        <w:ind w:firstLine="709"/>
      </w:pPr>
      <w:r>
        <w:rPr>
          <w:sz w:val="24"/>
        </w:rPr>
        <w:t xml:space="preserve">1) физические лица, зарегистрированные в установленном действующим законодательством порядке и осуществляющие предпринимательскую деятельность без образования юридического лица, - по суммам доходов, полученных от осуществления такой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2) нотариусы, занимающиеся частной практикой, адвокаты, учредившие адвокатские кабинеты и другие лица, занимающиеся в установленном действующим законодательством порядке частной практикой, - по суммам доходов, полученных от такой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Налогоплательщики, указанные в пункте 1 настоящей статьи, самостоятельно исчисляют суммы налога, подлежащие уплате в соответствующий бюджет, в порядке, установленном статьей 225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Общая сумма налога, подлежащая уплате в соответствующий бюджет, исчисляется налогоплательщиком с учетом сумм налога, удержанных налоговыми агентами при выплате налогоплательщику дохода, а также сумм авансовых платежей по налогу, фактически уплаченных в соответствующий бюджет.</w:t>
      </w:r>
    </w:p>
    <w:p>
      <w:pPr>
        <w:spacing w:after="120"/>
        <w:ind w:firstLine="709"/>
      </w:pPr>
      <w:r>
        <w:rPr>
          <w:sz w:val="24"/>
        </w:rPr>
        <w:t xml:space="preserve">4. Убытки прошлых лет, понесенные физическим лицом, не уменьшают налоговую базу.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Налогоплательщики, указанные в пункте 1 настоящей статьи, обязаны представить в налоговый орган по месту своего учета соответствующую налоговую декларацию в сроки, установленные статьей 229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на 12 месяцев сроков уплаты налога, подлежащего уплате в августе 2026 г. - июле 2027 г., лицам, пострадавшим в результате атак на объекты групп "РВБ" и "Интернет Решения", см. Постановления Правительства РФ от 25.08.2026 N 1074 , от 30.09.2026 N 1277 .</w:t>
      </w:r>
    </w:p>
    <w:p>
      <w:pPr>
        <w:spacing w:after="120"/>
        <w:ind w:firstLine="709"/>
      </w:pPr>
      <w:r>
        <w:rPr>
          <w:sz w:val="24"/>
        </w:rPr>
        <w:t xml:space="preserve">6. Общая сумма налога, подлежащая уплате в соответствующий бюджет, исчисленная в соответствии с налоговой декларацией с учетом положений настоящей статьи, уплачивается по месту учета налогоплательщика в срок не позднее 15 июля года,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Налогоплательщики, указанные в пункте 1 настоящей статьи, по итогам первого квартала, полугодия, девяти месяцев исчисляют сумму авансовых платежей исходя из ставки налога, фактически полученных доходов, профессиональных и стандартных налоговых вычетов, а также с учетом ранее исчисленных сумм авансовых платежей.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на 12 месяцев сроков уплаты авансовых платежей по налогу, подлежащих уплате в августе 2026 г. - июле 2027 г., лицам, пострадавшим в результате атак на объекты групп "РВБ" и "Интернет Решения", см. Постановления Правительства РФ от 25.08.2026 N 1074 , от 30.09.2026 N 1277 .</w:t>
      </w:r>
    </w:p>
    <w:p>
      <w:pPr>
        <w:spacing w:after="120"/>
        <w:ind w:firstLine="709"/>
      </w:pPr>
      <w:r>
        <w:rPr>
          <w:sz w:val="24"/>
        </w:rPr>
        <w:t xml:space="preserve">8. Авансовые платежи по итогам первого квартала, полугодия, девяти месяцев уплачиваются не позднее 28-го числа первого месяца, следующего соответственно за первым кварталом, полугодием, девятью месяцами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9 - 10. Утратили силу с 1 января 2020 года. - Федеральный закон от 15.04.2019 N 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227</dc:title>
  <dc:creator>АРБИТРАЖ! · arbi.ru</dc:creator>
  <cp:lastModifiedBy>АРБИТРАЖ!</cp:lastModifiedBy>
  <dcterms:created xsi:type="dcterms:W3CDTF">2026-10-22T20:21:32.226Z</dcterms:created>
</cp:coreProperties>
</file>