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246 НК РФ</w:t>
      </w:r>
    </w:p>
    <w:p>
      <w:pPr>
        <w:spacing w:after="120"/>
        <w:ind w:firstLine="709"/>
      </w:pPr>
      <w:r>
        <w:rPr>
          <w:sz w:val="24"/>
        </w:rPr>
        <w:t xml:space="preserve">- Являются ли плательщиками налога на прибыль организации, уплачивающие налог на игорный бизнес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налога на прибыль организаций (далее в настоящей главе - налогоплательщики)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01.12.2007 N 310-ФЗ)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российские организации;</w:t>
      </w:r>
    </w:p>
    <w:p>
      <w:pPr>
        <w:spacing w:after="120"/>
        <w:ind w:firstLine="709"/>
      </w:pPr>
      <w:r>
        <w:rPr>
          <w:sz w:val="24"/>
        </w:rPr>
        <w:t xml:space="preserve">иностранные организации, осуществляющие свою деятельность в Российской Федерации через постоянные представительства и (или) получающие доходы от источников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Организации, являющиеся ответственными участниками консолидированной группы налогоплательщиков, признаются налогоплательщиками в отношении налога на прибыль организаций по этой консолидированной группе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Участники консолидированной группы налогоплательщиков исполняют обязанности налогоплательщиков налога на прибыль организаций по консолидированной группе налогоплательщиков в части, необходимой для его исчисления ответственным участником этой группы.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2017 года. - Федеральные законы от 01.12.2007 N 310-ФЗ , от 30.07.2010 N 242-ФЗ 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28.11.2011 N 339-ФЗ.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 признаются налогоплательщиками UEFA (Union of European Football Associations) и дочерние организации UEFA в период по 31 декабря 2021 года включительно, FIFA (Federation Internationale de Football Association) и дочерние организации FIFA, определенные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конфедерации, национальные футбольные ассоциации, производители медиаинформации FIFA, поставщики товаров (работ, услуг) FIFA, коммерческие партнеры UEFA, поставщики товаров (работ, услуг) UEFA и вещатели UEFA, определенные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 и являющиеся иностранными организациями, в отношении доходов, полученных ими от деятельности, связанной с осуществлением мероприятий, предусмотренных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01.05.2019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целях настоящей главы к российским организациям приравниваются иностранные организации, признаваемые налоговыми резидентами Российской Федерации в порядке, установленном статьей 246.2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24.11.2014 N 376-ФЗ)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246.1-1. Освобождение от исполнения обязанностей налогоплательщика организации, получившей статус участника Военного инновационного технополиса "Эра" Министерства обороны Российской Федерации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23.11.2024 N 399-ФЗ)</w:t>
      </w:r>
    </w:p>
    <w:p>
      <w:pPr>
        <w:spacing w:after="120"/>
        <w:ind w:firstLine="709"/>
      </w:pPr>
      <w:r>
        <w:rPr>
          <w:sz w:val="24"/>
        </w:rPr>
        <w:t xml:space="preserve">1. Организация, получившая статус участника Технополиса и созданная начиная с 1 января календарного года, предшествующего календарному году, в котором этой организацией подана заявка на внесение сведений в реестр участников Технополиса, имеет право на освобождение от исполнения обязанностей налогоплательщика (далее в настоящей статье - право на освобождение) в порядке и на условиях,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настоящей статьей, участник Технополиса имеет право на освобождение в течение десяти лет со дня получения статуса участника Технополиса.</w:t>
      </w:r>
    </w:p>
    <w:p>
      <w:pPr>
        <w:spacing w:after="120"/>
        <w:ind w:firstLine="709"/>
      </w:pPr>
      <w:r>
        <w:rPr>
          <w:sz w:val="24"/>
        </w:rPr>
        <w:t xml:space="preserve">2. Участник Технополиса вправе использовать право на освобождение с 1-го числа месяца, следующего за месяцем, в котором был получен статус участника Технополиса, при условии представления в налоговый орган по месту своего учета в срок и порядке, которые предусмотрены пунктом 2 статьи 145.2 настоящего Кодекса, уведомления об использовании права на освобождение от исполнения обязанностей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3. Участник Технополиса, использующий право на освобождение, вправе отказаться от освобождения, направив уведомление об отказе от освобождения от исполнения обязанностей налогоплательщика в налоговый орган по месту своего учета в срок не позднее 1-го числа налогового периода, с которого участник Технополиса намерен отказаться от освобождения.</w:t>
      </w:r>
    </w:p>
    <w:p>
      <w:pPr>
        <w:spacing w:after="120"/>
        <w:ind w:firstLine="709"/>
      </w:pPr>
      <w:r>
        <w:rPr>
          <w:sz w:val="24"/>
        </w:rPr>
        <w:t xml:space="preserve">Участник Технополиса, отказавшийся от освобождения или утративший право на освобождение, теряет право на повторное использование права на освобождение.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Организация, получившая статус участника до 01.01.2025, представляет расчет за период, начинающийся с 1-го числа года, в котором она начала использовать право на освобождение от исполнения обязанностей налогоплательщика в соответствии со ст. 246.1-1 (в ред. ФЗ от 23.11.2024 N 399-ФЗ).</w:t>
      </w:r>
    </w:p>
    <w:p>
      <w:pPr>
        <w:spacing w:after="120"/>
        <w:ind w:firstLine="709"/>
      </w:pPr>
      <w:r>
        <w:rPr>
          <w:sz w:val="24"/>
        </w:rPr>
        <w:t xml:space="preserve">4. Участник Технополиса представляет в налоговый орган по месту своего учета расчет совокупного размера полученной выручки в сроки и порядке, которые предусмотрены пунктом 4 статьи 145.2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совокупный размер полученной выручки, рассчитанный в соответствии с пунктом 4 статьи 145.2 настоящего Кодекса, превысил 1 миллиард рублей до истечения налогового периода, последний расчет совокупного размера полученной выручки представляется не позднее 20-го числа месяца, следующего за отчетным периодом, указанным в абзаце первом пункта 2 статьи 285 настоящего Кодекса, в котором произошло указанное превышение совокупного размера полученной выручки.</w:t>
      </w:r>
    </w:p>
    <w:p>
      <w:pPr>
        <w:spacing w:after="120"/>
        <w:ind w:firstLine="709"/>
      </w:pPr>
      <w:r>
        <w:rPr>
          <w:sz w:val="24"/>
        </w:rPr>
        <w:t xml:space="preserve">5. Участник Технополиса утрачивает право на освобождение в случае наступления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утрачен статус участника Технополиса - с 1-го числа налогового периода, в котором такой статус был утрачен;</w:t>
      </w:r>
    </w:p>
    <w:p>
      <w:pPr>
        <w:spacing w:after="120"/>
        <w:ind w:firstLine="709"/>
      </w:pPr>
      <w:r>
        <w:rPr>
          <w:sz w:val="24"/>
        </w:rPr>
        <w:t xml:space="preserve">2) совокупный размер полученной участником Технополиса выручки, рассчитанный в порядке, предусмотренном пунктом 4 статьи 145.2 настоящего Кодекса, превысил 1 миллиард рублей - с 1-го числа налогового периода, в котором произошло превышение указанного размера выручки;</w:t>
      </w:r>
    </w:p>
    <w:p>
      <w:pPr>
        <w:spacing w:after="120"/>
        <w:ind w:firstLine="709"/>
      </w:pPr>
      <w:r>
        <w:rPr>
          <w:sz w:val="24"/>
        </w:rPr>
        <w:t xml:space="preserve">3) участником Технополиса не представлен в установленный срок расчет совокупного размера полученной выручки, предусмотренный пунктом 4 настоящей статьи, или представлен расчет, содержащий недостоверные сведения, - с 1-го числа налогового периода, по истечении которого не представлен расчет совокупного размера полученной выручки либо представлен расчет, содержащий недостоверные сведения.</w:t>
      </w:r>
    </w:p>
    <w:p>
      <w:pPr>
        <w:spacing w:after="120"/>
        <w:ind w:firstLine="709"/>
      </w:pPr>
      <w:r>
        <w:rPr>
          <w:sz w:val="24"/>
        </w:rPr>
        <w:t xml:space="preserve">6. Суммы убытка, полученные налогоплательщиком за периоды до использования им права на освобождение в соответствии с настоящей статьей, не могут быть перенесены на будущие периоды после признания организации налогоплательщиком.</w:t>
      </w:r>
    </w:p>
    <w:p>
      <w:pPr>
        <w:spacing w:after="120"/>
        <w:ind w:firstLine="709"/>
      </w:pPr>
      <w:r>
        <w:rPr>
          <w:sz w:val="24"/>
        </w:rPr>
        <w:t xml:space="preserve">7. Форма и формат уведомлений, предусмотренных настоящей статьей,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246</dc:title>
  <dc:creator>АРБИТРАЖ! · arbi.ru</dc:creator>
  <cp:lastModifiedBy>АРБИТРАЖ!</cp:lastModifiedBy>
  <dcterms:created xsi:type="dcterms:W3CDTF">2026-10-22T20:23:17.427Z</dcterms:created>
</cp:coreProperties>
</file>