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246.3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09.03.2022 N 50-ФЗ)</w:t>
      </w:r>
    </w:p>
    <w:p>
      <w:pPr>
        <w:spacing w:after="120"/>
        <w:ind w:firstLine="709"/>
      </w:pPr>
      <w:r>
        <w:rPr>
          <w:sz w:val="24"/>
        </w:rPr>
        <w:t xml:space="preserve">1. Организация, зарегистрированная на территории Южно-Курильского, Курильского или Северо-Курильского городского округа (далее - территория Курильских островов) после 1 января 2022 года (далее в настоящей статье - участник), с момента государственной регистрации по 31 декабря включительно года, в котором истекают 20 последовательных календарных лет, но не позднее 31 декабря 2046 года имеет право на освобождение от исполнения обязанностей налогоплательщика (далее в настоящей статье - право на освобождение) при выполнении условий, предусмотренных настоящей статьей.</w:t>
      </w:r>
    </w:p>
    <w:p>
      <w:pPr>
        <w:spacing w:after="120"/>
        <w:ind w:firstLine="709"/>
      </w:pPr>
      <w:r>
        <w:rPr>
          <w:sz w:val="24"/>
        </w:rPr>
        <w:t xml:space="preserve">Участник, использующий право на освобождение, должен представить письменное уведомление об использовании права на освобождение в налоговый орган по месту нахождения этого участника не позднее 30 календарных дней со дня его государственной регистрации, если иное не предусмотрено настоящим пунктом. Организация, реализующая новый инвестиционный проект, соответствующий установленным Правительством Российской Федерации критериям и одобренный президиумом Правительственной комиссии по вопросам социально-экономического развития Дальнего Востока, представляет письменное уведомление об использовании права на освобождение в налоговый орган по месту нахождения этой организации не позднее 30 календарных дней со дня указанного одобрения.</w:t>
      </w:r>
    </w:p>
    <w:p>
      <w:pPr>
        <w:spacing w:after="120"/>
        <w:ind w:firstLine="709"/>
      </w:pPr>
      <w:r>
        <w:rPr>
          <w:sz w:val="24"/>
        </w:rPr>
        <w:t xml:space="preserve">(в ред. Федерального закона от 27.10.2025 N 386-ФЗ)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 вправе отказаться от права на освобождение с 1-го числа налогового периода при условии письменного уведомления об этом налогового органа не позднее 31 декабря года, предшествующего году, с которого участник отказывается от права на освобождение.</w:t>
      </w:r>
    </w:p>
    <w:p>
      <w:pPr>
        <w:spacing w:after="120"/>
        <w:ind w:firstLine="709"/>
      </w:pPr>
      <w:r>
        <w:rPr>
          <w:sz w:val="24"/>
        </w:rPr>
        <w:t xml:space="preserve">Формы и форматы уведомлений об использовании права на освобождение (отказе от права на освобождение)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Участником не может быть вновь создаваемая организация, 50 процентов или более доли участия в которой прямо или косвенно принадлежат лицу и (или) его взаимозависимому лицу в соответствии со статьей 105.1 настоящего Кодекса, владеющим прямо или косвенно не менее чем 50 процентами доли участия в другом участнике, ранее утратившем право на освобождение в соответствии с пунктом 3 настоящей статьи, либо в другой организации, зарегистрированной на территории Курильских островов до 1 января 2022 года, за исключением вновь создаваемой организации, реализующей новый инвестиционный проект, соответствующий установленным Правительством Российской Федерации критериям и одобренный президиумом Правительственной комиссии по вопросам социально-экономического развития Дальнего Востока. Участником также не может быть организация, которая создана в результате реорганизации организации, зарегистрированной на территории Курильских островов до 1 января 2022 года, либо реорганизована путем присоединения к ней организации, зарегистрированной на территории Курильских островов до 1 января 2022 года.</w:t>
      </w:r>
    </w:p>
    <w:p>
      <w:pPr>
        <w:spacing w:after="120"/>
        <w:ind w:firstLine="709"/>
      </w:pPr>
      <w:r>
        <w:rPr>
          <w:sz w:val="24"/>
        </w:rPr>
        <w:t xml:space="preserve">(в ред. Федерального закона от 27.10.2025 N 386-ФЗ)</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 использующий право на освобождение, должен соответствовать одновременно следующим условиям:</w:t>
      </w:r>
    </w:p>
    <w:p>
      <w:pPr>
        <w:spacing w:after="120"/>
        <w:ind w:firstLine="709"/>
      </w:pPr>
      <w:r>
        <w:rPr>
          <w:sz w:val="24"/>
        </w:rPr>
        <w:t xml:space="preserve">организация не имеет обособленных подразделений, находящихся за пределами территории Курильских островов;</w:t>
      </w:r>
    </w:p>
    <w:p>
      <w:pPr>
        <w:spacing w:after="120"/>
        <w:ind w:firstLine="709"/>
      </w:pPr>
      <w:r>
        <w:rPr>
          <w:sz w:val="24"/>
        </w:rPr>
        <w:t xml:space="preserve">доля доходов от пассивной деятельности (доходы, указанные в пункте 4 статьи 309.1 настоящего Кодекса) не превышает 10 процентов от всех доходов, учитываемых при определении налоговой базы по налогу в соответствии с главой 25 настоящего Кодекса;</w:t>
      </w:r>
    </w:p>
    <w:p>
      <w:pPr>
        <w:spacing w:after="120"/>
        <w:ind w:firstLine="709"/>
      </w:pPr>
      <w:r>
        <w:rPr>
          <w:sz w:val="24"/>
        </w:rPr>
        <w:t xml:space="preserve">организация не осуществляет посредническую деятельность, торговую деятельность (за исключением торговли товарами собственного производства), производство и (или) переработку подакцизных товаров, добычу и (или) переработку углеводородного сырья, вылов ценных видов ракообразных (за исключением артемии и креветки), деятельность в интересах другого лица на основе договоров поручения, договоров комиссии либо агентских договоров.</w:t>
      </w:r>
    </w:p>
    <w:p>
      <w:pPr>
        <w:spacing w:after="120"/>
        <w:ind w:firstLine="709"/>
      </w:pPr>
      <w:r>
        <w:rPr>
          <w:sz w:val="24"/>
        </w:rPr>
        <w:t xml:space="preserve">Перечень видов посреднической деятельности, указанной в абзаце четвертом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pPr>
        <w:spacing w:after="120"/>
        <w:ind w:firstLine="709"/>
      </w:pPr>
      <w:r>
        <w:rPr>
          <w:sz w:val="24"/>
        </w:rPr>
        <w:t xml:space="preserve">(в ред. Федерального закона от 14.07.2022 N 334-ФЗ)</w:t>
      </w:r>
    </w:p>
    <w:p>
      <w:pPr>
        <w:spacing w:after="120"/>
        <w:ind w:firstLine="709"/>
      </w:pPr>
      <w:r>
        <w:rPr>
          <w:sz w:val="24"/>
        </w:rPr>
        <w:t xml:space="preserve">(см. текст в предыдущей редакции )</w:t>
      </w:r>
    </w:p>
    <w:p>
      <w:pPr>
        <w:spacing w:after="120"/>
        <w:ind w:firstLine="709"/>
      </w:pPr>
      <w:r>
        <w:rPr>
          <w:sz w:val="24"/>
        </w:rPr>
        <w:t xml:space="preserve">3. Если в течение налогового периода не выполняется одно из условий, предусмотренных пунктом 2 настоящей статьи (за исключением условия, предусмотренного абзацем третьим указанного пункта), или по итогам налогового периода не выполняется условие, предусмотренное абзацем третьим указанного пункта, участник утрачивает право на освобождение с 1-го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статьей 287 настоящего Кодекса днем уплаты налога (авансового платежа по налогу).</w:t>
      </w:r>
    </w:p>
    <w:p>
      <w:pPr>
        <w:spacing w:after="120"/>
        <w:ind w:firstLine="709"/>
      </w:pPr>
      <w:r>
        <w:rPr>
          <w:sz w:val="24"/>
        </w:rPr>
        <w:t xml:space="preserve">4. После утраты права на освобождение в соответствии с пунктом 3 настоящей статьи или после добровольного отказа от права на освобождение налогоплательщик не может вновь претендовать на использование права на освобождение по основаниям, предусмотренным настоящей статьей.</w:t>
      </w:r>
    </w:p>
    <w:p>
      <w:pPr>
        <w:spacing w:after="120"/>
        <w:ind w:firstLine="709"/>
      </w:pPr>
      <w:r>
        <w:rPr>
          <w:sz w:val="24"/>
        </w:rPr>
        <w:t xml:space="preserve">5. В целях контроля за соблюдением условий, предусмотренных абзацем третьим пункта 2 настоящей статьи, участник не позднее 28 марта года, следующего за отчетным годом, должен представить расчет доли доходов от пассивной деятельности в налоговый орган по месту нахождения этого участника. Форма и формат указанного расчета утверждаются федеральным органом исполнительной власти, уполномоченным по контролю и надзору в области налогов и сборов.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246.3</dc:title>
  <dc:creator>АРБИТРАЖ! · arbi.ru</dc:creator>
  <cp:lastModifiedBy>АРБИТРАЖ!</cp:lastModifiedBy>
  <dcterms:created xsi:type="dcterms:W3CDTF">2026-10-22T22:34:20.117Z</dcterms:created>
</cp:coreProperties>
</file>