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248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248 признан частично не соответствующим Конституции РФ ( Постановление КС РФ от 21.01.2025 N 2-П).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1. К доходам в целях настоящей главы относятся:</w:t>
      </w:r>
    </w:p>
    <w:p>
      <w:pPr>
        <w:spacing w:after="120"/>
        <w:ind w:firstLine="709"/>
      </w:pPr>
      <w:r>
        <w:rPr>
          <w:sz w:val="24"/>
        </w:rPr>
        <w:t xml:space="preserve">1) доходы от реализации товаров (работ, услуг) и имущественных прав (далее - доходы от реализации).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товары определяются в соответствии с пунктом 3 статьи 38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2) внереализационные доходы.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доходов из них исключаются суммы налогов, предъявленные в соответствии с настоящим Кодексом налогоплательщиком покупателю (приобретателю) товаров (работ, услуг, имущественных прав), а также сумма туристического налога.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Доходы определяются на основании первичных документов и других документов, подтверждающих полученные налогоплательщиком доходы, и документов налогового учета.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Доходы от реализации определяются в порядке, установленном статьей 249 настоящего Кодекса с учетом положений настоящей главы.</w:t>
      </w:r>
    </w:p>
    <w:p>
      <w:pPr>
        <w:spacing w:after="120"/>
        <w:ind w:firstLine="709"/>
      </w:pPr>
      <w:r>
        <w:rPr>
          <w:sz w:val="24"/>
        </w:rPr>
        <w:t xml:space="preserve">Внереализационные доходы определяются в порядке, установленном статьей 250 настоящего Кодекса с учетом положений настоящей главы.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248 признан частично не соответствующим Конституции РФ ( Постановление КС РФ от 21.01.2025 N 2-П).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Для целей настоящей главы имущество (работы, услуги) или имущественные права считаются полученными безвозмездно, если получение этого имущества (работ, услуг) или имущественных прав не связано с возникновением у получателя обязанности передать имущество (имущественные права) передающему лицу (выполнить для передающего лица работы, оказать передающему лицу услуги).</w:t>
      </w:r>
    </w:p>
    <w:p>
      <w:pPr>
        <w:spacing w:after="120"/>
        <w:ind w:firstLine="709"/>
      </w:pPr>
      <w:r>
        <w:rPr>
          <w:sz w:val="24"/>
        </w:rPr>
        <w:t xml:space="preserve">3. Полученные налогоплательщиком доходы, стоимость которых выражена в иностранной валюте, учитываются в совокупности с доходами, стоимость которых выражена в рублях.</w:t>
      </w:r>
    </w:p>
    <w:p>
      <w:pPr>
        <w:spacing w:after="120"/>
        <w:ind w:firstLine="709"/>
      </w:pPr>
      <w:r>
        <w:rPr>
          <w:sz w:val="24"/>
        </w:rPr>
        <w:t xml:space="preserve">Полученные налогоплательщиком доходы, стоимость которых выражена в условных единицах, учитываются в совокупности с доходами, стоимость которых выражена в рублях.</w:t>
      </w:r>
    </w:p>
    <w:p>
      <w:pPr>
        <w:spacing w:after="120"/>
        <w:ind w:firstLine="709"/>
      </w:pPr>
      <w:r>
        <w:rPr>
          <w:sz w:val="24"/>
        </w:rPr>
        <w:t xml:space="preserve">Пересчет указанных доходов производится налогоплательщиком в зависимости от выбранного в учетной политике для целей налогообложения метода признания доходов в соответствии со статьями 271 и 273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суммы, отраженные в составе доходов налогоплательщика, не подлежат повторному включению в состав его доходов.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248</dc:title>
  <dc:creator>АРБИТРАЖ! · arbi.ru</dc:creator>
  <cp:lastModifiedBy>АРБИТРАЖ!</cp:lastModifiedBy>
  <dcterms:created xsi:type="dcterms:W3CDTF">2026-10-22T23:05:34.742Z</dcterms:created>
</cp:coreProperties>
</file>