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256 НК РФ</w:t>
      </w:r>
    </w:p>
    <w:p>
      <w:pPr>
        <w:spacing w:after="120"/>
        <w:ind w:firstLine="709"/>
      </w:pPr>
      <w:r>
        <w:rPr>
          <w:sz w:val="24"/>
        </w:rPr>
        <w:t xml:space="preserve">- Можно ли в налоговом учете амортизировать объект жилого фонда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256 НК РФ</w:t>
      </w:r>
    </w:p>
    <w:p>
      <w:pPr>
        <w:spacing w:after="120"/>
        <w:ind w:firstLine="709"/>
      </w:pPr>
      <w:r>
        <w:rPr>
          <w:sz w:val="24"/>
        </w:rPr>
        <w:t xml:space="preserve">1. Амортизируемым имуществом в целях настоящей главы признаются имущество, результаты интеллектуальной деятельности и иные объекты интеллектуальной собственности, которые находятся у налогоплательщика на праве собственности (если иное не предусмотрено настоящей главой) и используются им для извлечения дохода. Амортизируемым имуществом признаются имущество,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Амортизируемое имущество, полученное унитарным предприятием от собственника имущества унитарного предприятия в оперативное управление или хозяйственное ведение, подлежит амортизации у данного унитарного предприятия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Амортизируемое имущество, полученное организацией-инвестором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услуг, подлежит амортизации у данной организации в течение срока действия инвестиционного соглашения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20.08.2004 N 110-ФЗ)</w:t>
      </w:r>
    </w:p>
    <w:p>
      <w:pPr>
        <w:spacing w:after="120"/>
        <w:ind w:firstLine="709"/>
      </w:pPr>
      <w:r>
        <w:rPr>
          <w:sz w:val="24"/>
        </w:rPr>
        <w:t xml:space="preserve">Имущество, относящееся к мобилизационным мощностям, подлежит амортизации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206-ФЗ)</w:t>
      </w:r>
    </w:p>
    <w:p>
      <w:pPr>
        <w:spacing w:after="120"/>
        <w:ind w:firstLine="709"/>
      </w:pPr>
      <w:r>
        <w:rPr>
          <w:sz w:val="24"/>
        </w:rPr>
        <w:t xml:space="preserve">Амортизируемым имуществом признаются капитальные вложения в предоставленные в аренду объекты основных средств в форме неотделимых улучшений, произведенных арендатором с согласия арендодателя, а также капитальные вложения в предоставленные по договору безвозмездного пользования объекты основных средств в форме неотделимых улучшений, произведенных организацией-ссудополучателем с согласия организации-ссудодателя.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Амортизируемое имущество,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законодательством Российской Федерации о концессионных соглашениях, подлежит амортизации у данной организации в течение срока действия инвестиционного соглашения или концессионного соглашения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06.06.2005 N 58-ФЗ, в ред. Федерального закона от 30.06.2008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подлежат амортизации земля и иные объекты природопользования (вода, недра и другие природные ресурсы), а также материально-производственные запасы, товары, объекты незавершенного капитального строительства, ценные бумаги, производные финансовые инструменты (в том числе форвардные, фьючерсные контракты, опционные контракты), цифровая валюта.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03.07.2016 N 242-ФЗ , от 29.11.2024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подлежат амортизации следующие виды амортизируемого имущества: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имущество бюджетных организаций, за исключением имущества, приобретенного в связи с осуществлением предпринимательской деятельности и используемого для осуществления такой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110-ФЗ)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имущество некоммерческих организаций,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28.11.2025 N 425-ФЗ;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объекты внешнего благоустройства (объекты лесного хозяйства, объекты дорожного хозяйства, сооружение которых осуществлялось с привлечением источников бюджетного или иного аналогичного целевого финансирования, специализированные сооружения судоходной обстановки) и другие аналогичные объекты;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22.07.2008 N 135-ФЗ;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приобретенные издания (книги, брошюры и иные подобные объекты), произведения искусства. При этом стоимость приобретенных изданий и стоимость культурных ценностей, приобретенных музеями, являющимися бюджетными учреждениями, в Музейный фонд Российской Федерации, включаются в состав прочих расходов, связанных с производством и реализацией, в полной сумме в момент приобретения указанных объектов;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23.07.2013 N 215-ФЗ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исключен. - Федеральный закон от 29.05.2002 N 57-ФЗ;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7 ) имущество, приобретенное (созданное) за счет средств, поступивших в соответствии с подпунктами 14 , 19 , 22 , 23 и 30 пункта 1 статьи 251 настоящего Кодекса, а также имущество, указанное в подпункте 6 и 7 пункта 1 статьи 251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31.12.2002 N 191-ФЗ , от 29.12.2004 N 204-ФЗ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приобретенные права на результаты интеллектуальной деятельности и иные объекты интеллектуальной собственности, если по договору на приобретение указанных прав оплата должна производиться периодическими платежами в течение срока действия указанного договора;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9) объекты основных средств, в отношении которых налогоплательщик использовал право на применение инвестиционного налогового вычета, с учетом особенностей, установленных пунктом 7 статьи 286.1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10) имущество, созданное в результате работ, указанных в подпункте 11.2 пункта 1 статьи 251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27.11.2018 N 424-ФЗ)</w:t>
      </w:r>
    </w:p>
    <w:p>
      <w:pPr>
        <w:spacing w:after="120"/>
        <w:ind w:firstLine="709"/>
      </w:pPr>
      <w:r>
        <w:rPr>
          <w:sz w:val="24"/>
        </w:rPr>
        <w:t xml:space="preserve">11) медицинские изделия, расходы на приобретение которых учтены налогоплательщиком в соответствии с подпунктом 48.12 пункта 1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22.04.2020 N 121-ФЗ)</w:t>
      </w:r>
    </w:p>
    <w:p>
      <w:pPr>
        <w:spacing w:after="120"/>
        <w:ind w:firstLine="709"/>
      </w:pPr>
      <w:r>
        <w:rPr>
          <w:sz w:val="24"/>
        </w:rPr>
        <w:t xml:space="preserve">12) объекты основных средств, расходы на приобретение (создание) которых учитываются при определении налоговых вычетов, установленных статьями 343.6 , 343.7 и 343.9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12 в ред. Федерального закона от 28.12.2022 N 566-ФЗ)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нематериальные активы, созданные в результате произведенных расходов на научные исследования и (или) опытно-конструкторские разработки, в отношении которых налогоплательщик использовал право на применение инвестиционного налогового вычета, с учетом особенностей, установленных пунктом 7 статьи 286.1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13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14 п. 2 ст. 256 (в ред. ФЗ от 28.06.2022 N 225-ФЗ) применяется налогоплательщиками - участниками соглашений о защите и поощрении капиталовложений, стороной которых является РФ и которые заключены после 01.06.2022.</w:t>
      </w:r>
    </w:p>
    <w:p>
      <w:pPr>
        <w:spacing w:after="120"/>
        <w:ind w:firstLine="709"/>
      </w:pPr>
      <w:r>
        <w:rPr>
          <w:sz w:val="24"/>
        </w:rPr>
        <w:t xml:space="preserve">14) объекты основных средств, в отношении которых применен или будет применен налоговый вычет для СЗПК, указанный в статье 25.18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14 введен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3. Из состава амортизируемого имущества в целях настоящей главы исключаются основные средства: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2020 года. - Федеральный закон от 29.09.2019 N 325-ФЗ;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переведенные по решению руководства организации на консервацию продолжительностью свыше трех месяцев;</w:t>
      </w:r>
    </w:p>
    <w:p>
      <w:pPr>
        <w:spacing w:after="120"/>
        <w:ind w:firstLine="709"/>
      </w:pPr>
      <w:r>
        <w:rPr>
          <w:sz w:val="24"/>
        </w:rPr>
        <w:t xml:space="preserve">находящиеся по решению руководства организации на реконструкции и модернизации продолжительностью свыше 12 месяцев, за исключением случаев, если основные средства в процессе реконструкции или модернизации продолжают использоваться налогоплательщиком в деятельности, направленной на получение дохода;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04.06.2018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расконсервации объекта основных средств амортизация по нему начисляется в порядке, действовавшем до момента его консервации.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07.11.2011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Амортизация, начисленная по основным средствам, переданным в безвозмездное пользование органам государственной власти и управления и органам местного самоуправления, государственным и муниципальным учреждениям, государственным и муниципальным унитарным предприятиям в случаях, если эта обязанность налогоплательщика установлена законодательством Российской Федерации, и амортизация, начисленная по основным средствам, используемым для транспортировки газа по 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сооружениях, находящихся вне воинских захоронений, в соответствии с Законом Российской Федерации от 14 января 1993 года N 4292-I "Об увековечении памяти погибших при защите Отечества", при условии,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потребителей, учитываются при определении налоговой базы в соответствии со статьей 274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29.11.2014 N 382-ФЗ; в ред. Федерального закона от 14.07.2022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256</dc:title>
  <dc:creator>АРБИТРАЖ! · arbi.ru</dc:creator>
  <cp:lastModifiedBy>АРБИТРАЖ!</cp:lastModifiedBy>
  <dcterms:created xsi:type="dcterms:W3CDTF">2026-10-22T14:09:09.076Z</dcterms:created>
</cp:coreProperties>
</file>