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257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257 НК РФ</w:t>
      </w:r>
    </w:p>
    <w:p>
      <w:pPr>
        <w:spacing w:after="120"/>
        <w:ind w:firstLine="709"/>
      </w:pPr>
      <w:r>
        <w:rPr>
          <w:sz w:val="24"/>
        </w:rPr>
        <w:t xml:space="preserve">- Включается ли для целей налога на прибыль в первоначальную стоимость основного средства госпошлина, которая уплачена при его регистрации</w:t>
      </w:r>
    </w:p>
    <w:p>
      <w:pPr>
        <w:spacing w:after="120"/>
        <w:ind w:firstLine="709"/>
      </w:pPr>
      <w:r>
        <w:rPr>
          <w:sz w:val="24"/>
        </w:rPr>
        <w:t xml:space="preserve">- Включаются ли для целей налога на прибыль в первоначальную стоимость основного средства проценты по займам и кредитам</w:t>
      </w:r>
    </w:p>
    <w:p>
      <w:pPr>
        <w:spacing w:after="120"/>
        <w:ind w:firstLine="709"/>
      </w:pPr>
      <w:r>
        <w:rPr>
          <w:sz w:val="24"/>
        </w:rPr>
        <w:t xml:space="preserve">- Можно ли единовременно учитывать расходы на аренду участка, предназначенного для строительства объекта недвижимости</w:t>
      </w:r>
    </w:p>
    <w:p>
      <w:pPr>
        <w:spacing w:after="120"/>
        <w:ind w:firstLine="709"/>
      </w:pPr>
      <w:r>
        <w:rPr>
          <w:sz w:val="24"/>
        </w:rPr>
        <w:t xml:space="preserve">- Все вопросы по ст. 257 НК РФ</w:t>
      </w:r>
    </w:p>
    <w:p>
      <w:pPr>
        <w:spacing w:after="120"/>
        <w:ind w:firstLine="709"/>
      </w:pPr>
      <w:r>
        <w:rPr>
          <w:sz w:val="24"/>
        </w:rPr>
        <w:t xml:space="preserve">1. Под основными средствами в целях настоящей главы понимается часть имущества, используемого в качестве средств труда для производства и реализации товаров (выполнения работ, оказания услуг) или для управления организацией первоначальной стоимостью более 100 000 рублей.</w:t>
      </w:r>
    </w:p>
    <w:p>
      <w:pPr>
        <w:spacing w:after="120"/>
        <w:ind w:firstLine="709"/>
      </w:pPr>
      <w:r>
        <w:rPr>
          <w:sz w:val="24"/>
        </w:rPr>
        <w:t xml:space="preserve">(в ред. Федеральных законов от 29.05.2002 N 57-ФЗ , от 24.07.2007 N 216-ФЗ , от 27.07.2010 N 229-ФЗ , от 08.06.2015 N 150-ФЗ )</w:t>
      </w:r>
    </w:p>
    <w:p>
      <w:pPr>
        <w:spacing w:after="120"/>
        <w:ind w:firstLine="709"/>
      </w:pPr>
      <w:r>
        <w:rPr>
          <w:sz w:val="24"/>
        </w:rPr>
        <w:t xml:space="preserve">(см. текст в предыдущей редакции )</w:t>
      </w:r>
    </w:p>
    <w:p>
      <w:pPr>
        <w:spacing w:after="120"/>
        <w:ind w:firstLine="709"/>
      </w:pPr>
      <w:r>
        <w:rPr>
          <w:sz w:val="24"/>
        </w:rPr>
        <w:t xml:space="preserve">Первоначальная стоимость основного средства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 предусмотренных настоящим Кодексом.</w:t>
      </w:r>
    </w:p>
    <w:p>
      <w:pPr>
        <w:spacing w:after="120"/>
        <w:ind w:firstLine="709"/>
      </w:pPr>
      <w:r>
        <w:rPr>
          <w:sz w:val="24"/>
        </w:rPr>
        <w:t xml:space="preserve">(в ред. Федеральных законов от 29.05.2002 N 57-ФЗ , от 06.06.2005 N 58-ФЗ , от 26.11.2008 N 224-ФЗ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1 ст. 257 (в ред. ФЗ от 28.04.2023 N 159-ФЗ) применяется к правоотношениям по определению первоначальной стоимости высокотехнологичного оборудования, которое на дату ввода его в эксплуатацию включено в перечень российского высокотехнологичного оборудования.</w:t>
      </w:r>
    </w:p>
    <w:p>
      <w:pPr>
        <w:spacing w:after="120"/>
        <w:ind w:firstLine="709"/>
      </w:pPr>
      <w:r>
        <w:rPr>
          <w:sz w:val="24"/>
        </w:rPr>
        <w:t xml:space="preserve">При формировании первоначальной стоимости основного средства, включенного в единый реестр российской радиоэлектронной продукции, относящегося к сфере искусственного интеллекта, либо включенного в единый реестр российских программ для электронных вычислительных машин и баз данных, либо включенного в перечень российского высокотехнологичного оборудования, утверждаемый Правительством Российской Федерации, налогоплательщик вправе учитывать указанные расходы с применением коэффициента 2.</w:t>
      </w:r>
    </w:p>
    <w:p>
      <w:pPr>
        <w:spacing w:after="120"/>
        <w:ind w:firstLine="709"/>
      </w:pPr>
      <w:r>
        <w:rPr>
          <w:sz w:val="24"/>
        </w:rPr>
        <w:t xml:space="preserve">(абзац введен Федеральным законом от 14.07.2022 N 323-ФЗ; в ред. Федеральных законов от 28.04.2023 N 159-ФЗ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Первоначальной стоимостью имущества, являющегося предметом лизинга, признается сумма расходов лизингодателя на его приобретение, сооружение, доставку, изготовление и доведение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Восстановительная стоимость амортизируемых основных средств, приобретенных (созданных) до вступления в силу настоящей главы, определяется как их первоначальная стоимость с учетом проведенных переоценок до даты вступления настоящей главы в силу.</w:t>
      </w:r>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восстановительной стоимости амортизируемых основных средств в целях настоящей главы учитывается переоценка основных средств, осуществленная по решению налогоплательщика по состоянию на 1 января 2002 года и отраженная в бухгалтерском учете налогоплательщика после 1 января 2002 года. Указанная переоценка принимается в целях налогообложения в размере, не превышающем 30 процентов от восстановительной стоимости соответствующих объектов основных средств, отраженных в бухгалтерском учете налогоплательщика по состоянию на 1 января 2001 года (с учетом переоценки по состоянию на 1 января 2001 года, произведенной по решению налогоплательщика и отраженной в бухгалтерском учете в 2001 году). При этом величина переоценки (уценки) по состоянию на 1 января 2002 года, отраженной налогоплательщиком в 2002 году, не признается доходом (расходом) налогоплательщика в целях налогообложения. В аналогичном порядке принимается в целях налогообложения соответствующая переоценка сумм амортизации.</w:t>
      </w:r>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проведении налогоплательщиком в последующих отчетных (налоговых) периодах после вступления в силу настоящей главы переоценки (уценки) стоимости объектов основных средств на рыночную стоимость положительная (отрицательная) сумма такой переоценки не признается доходом (расходом), учитываемым для целей налогообложения, и не принимается при определении восстановительной стоимости амортизируемого имущества и при начислении амортизации, учитываемым для целей налогообложения в соответствии с настоящей главой.</w:t>
      </w:r>
    </w:p>
    <w:p>
      <w:pPr>
        <w:spacing w:after="120"/>
        <w:ind w:firstLine="709"/>
      </w:pPr>
      <w:r>
        <w:rPr>
          <w:sz w:val="24"/>
        </w:rPr>
        <w:t xml:space="preserve">(абзац введен Федеральным законом от 24.07.2002 N 110-ФЗ)</w:t>
      </w:r>
    </w:p>
    <w:p>
      <w:pPr>
        <w:spacing w:after="120"/>
        <w:ind w:firstLine="709"/>
      </w:pPr>
      <w:r>
        <w:rPr>
          <w:sz w:val="24"/>
        </w:rPr>
        <w:t xml:space="preserve">Остаточная стоимость основных средств, введенных до вступления в силу настоящей главы, определяется как разница между восстановительной стоимостью таких основных средств и суммой амортизации, определенных в порядке, установленном абзацем пятым настоящего пункта.</w:t>
      </w:r>
    </w:p>
    <w:p>
      <w:pPr>
        <w:spacing w:after="120"/>
        <w:ind w:firstLine="709"/>
      </w:pPr>
      <w:r>
        <w:rPr>
          <w:sz w:val="24"/>
        </w:rPr>
        <w:t xml:space="preserve">(абзац введен Федеральным законом от 24.07.2002 N 110-ФЗ)</w:t>
      </w:r>
    </w:p>
    <w:p>
      <w:pPr>
        <w:spacing w:after="120"/>
        <w:ind w:firstLine="709"/>
      </w:pPr>
      <w:r>
        <w:rPr>
          <w:sz w:val="24"/>
        </w:rPr>
        <w:t xml:space="preserve">Остаточная стоимость основных средств, введенных в эксплуатацию после вступления в силу настоящей главы, определяется как разница между их первоначальной стоимостью и суммой начисленной за период эксплуатации амортизации.</w:t>
      </w:r>
    </w:p>
    <w:p>
      <w:pPr>
        <w:spacing w:after="120"/>
        <w:ind w:firstLine="709"/>
      </w:pPr>
      <w:r>
        <w:rPr>
          <w:sz w:val="24"/>
        </w:rPr>
        <w:t xml:space="preserve">(абзац введен Федеральным законом от 29.05.2002 N 57-ФЗ, 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При использовании налогоплательщиком объектов основных средств собственного производства первоначальная стоимость таких объектов определяется как стоимость готовой продукции, исчисленная в соответствии с пунктом 2 статьи 319 настоящего Кодекса, увеличенная на сумму соответствующих акцизов для основных средств, являющихся подакцизными товарами.</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Первоначальная стоимость имущества, полученного в качестве объекта концессионного соглашения, определяется как рыночная стоимость такого имущества, определенная на момент его получения и увеличенная на сумму расходов на достройку, дооборудование, реконструкцию, модернизацию, техническое перевооружение и доведение такого имущества до состояния, в котором оно пригодно для использования, за исключением сумм налогов, подлежащих вычету или учитываемых в составе расходов в соответствии с настоящим Кодексом.</w:t>
      </w:r>
    </w:p>
    <w:p>
      <w:pPr>
        <w:spacing w:after="120"/>
        <w:ind w:firstLine="709"/>
      </w:pPr>
      <w:r>
        <w:rPr>
          <w:sz w:val="24"/>
        </w:rPr>
        <w:t xml:space="preserve">(абзац введен Федеральным законом от 30.06.2008 N 108-ФЗ)</w:t>
      </w:r>
    </w:p>
    <w:p>
      <w:pPr>
        <w:spacing w:after="120"/>
        <w:ind w:firstLine="709"/>
      </w:pPr>
      <w:r>
        <w:rPr>
          <w:sz w:val="24"/>
        </w:rPr>
        <w:t xml:space="preserve">Остаточная стоимость объектов амортизируемого имущества, амортизация по которым начисляется нелинейным методом, если иное не установлено настоящей главой, определяется по формуле:</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S n = S x (1 - 0,01 x k) n ,</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где S n - остаточная стоимость указанных объектов по истечении n месяцев после их включения в соответствующую амортизационную группу (подгруппу);</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S - первоначальная (восстановительная) стоимость указанных объектов;</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n - число полных месяцев, прошедших со дня включения указанных объектов в соответствующую амортизационную группу (подгруппу) до дня их исключения из состава этой группы (подгруппы), не считая периода, исчисленного в полных месяцах, в течение которого такие объекты не входили в состав амортизируемого имущества в соответствии с пунктом 3 статьи 256 настоящего Кодекса;</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k - норма амортизации (в том числе с учетом повышающего (понижающего) коэффициента), применяемая в отношении соответствующей амортизационной группы (подгруппы).</w:t>
      </w:r>
    </w:p>
    <w:p>
      <w:pPr>
        <w:spacing w:after="120"/>
        <w:ind w:firstLine="709"/>
      </w:pPr>
      <w:r>
        <w:rPr>
          <w:sz w:val="24"/>
        </w:rPr>
        <w:t xml:space="preserve">(абзац введен Федеральным законом от 22.07.2008 N 158-ФЗ)</w:t>
      </w:r>
    </w:p>
    <w:p>
      <w:pPr>
        <w:spacing w:after="120"/>
        <w:ind w:firstLine="709"/>
      </w:pPr>
      <w:r>
        <w:rPr>
          <w:sz w:val="24"/>
        </w:rPr>
        <w:t xml:space="preserve">При определении остаточной стоимости основных средств, в отношении которых были применены положения абзаца второго пункта 9 статьи 258 настоящего Кодекса, вместо показателя первоначальной стоимости используется показатель стоимости, по которой такие объекты включены в соответствующие амортизационные группы (подгруппы).</w:t>
      </w:r>
    </w:p>
    <w:p>
      <w:pPr>
        <w:spacing w:after="120"/>
        <w:ind w:firstLine="709"/>
      </w:pPr>
      <w:r>
        <w:rPr>
          <w:sz w:val="24"/>
        </w:rPr>
        <w:t xml:space="preserve">(абзац введен Федеральным законом от 29.11.2012 N 206-ФЗ)</w:t>
      </w:r>
    </w:p>
    <w:p>
      <w:pPr>
        <w:spacing w:after="120"/>
        <w:ind w:firstLine="709"/>
      </w:pPr>
      <w:r>
        <w:rPr>
          <w:sz w:val="24"/>
        </w:rPr>
        <w:t xml:space="preserve">Первоначальная стоимость имущества, созданного с использованием бюджетных средств целевого финансирования,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за исключением налога на добавленную стоимость и акцизов, кроме случаев, предусмотренных настоящим Кодексом, уменьшенная на сумму расходов, осуществленных за счет бюджетных средств целевого финансирования.</w:t>
      </w:r>
    </w:p>
    <w:p>
      <w:pPr>
        <w:spacing w:after="120"/>
        <w:ind w:firstLine="709"/>
      </w:pPr>
      <w:r>
        <w:rPr>
          <w:sz w:val="24"/>
        </w:rPr>
        <w:t xml:space="preserve">(абзац введен Федеральным законом от 23.07.2013 N 215-ФЗ)</w:t>
      </w:r>
    </w:p>
    <w:p>
      <w:pPr>
        <w:spacing w:after="120"/>
        <w:ind w:firstLine="709"/>
      </w:pPr>
      <w:r>
        <w:rPr>
          <w:sz w:val="24"/>
        </w:rPr>
        <w:t xml:space="preserve">Для налогоплательщиков, которые на день принятия в Российскую Федерацию Донецкой Народной Республики, Луганской Народной Республики, Запорожской области, Херсонской области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иного органа или лица, имеющих право действовать от имени юридического лица без доверенности, на территории Донецкой Народной Республики, Луганской Народной Республики, Запорожской области или Херсонской области, первоначальная стоимость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определяется как сумма расходов на его приобретение, сооружение, изготовление, доставку и доведение до состояния, в котором оно пригодно для использования, достройку, дооборудование, реконструкцию, модернизацию, техническое перевооружение, подтвержденных первичными учетными документами, если иное не предусмотрено настоящим абзацем. Остаточная стоимость указанного объекта амортизируемого имущества определяется как разница между его первоначальной стоимостью и суммой амортизации, начисленной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и амортизации, начисленной с указанного месяца включительно в порядке, предусмотренном настоящей главой. Первоначальная стоимость и сумма амортизации, начисленная линейным методом по правилам настоящей главы за период, равный количеству месяцев эксплуатации данного объекта до месяца, в котором в отношении налогоплательщика начали применяться положения законодательства Российской Федерации о налогах и сборах, указываются в инвентаризационной описи, предусмотренной частью четырнадцатой статьи 313 настоящего Кодекса. Подтверждение сумм расходов на приобретение, сооружение, изготовление, доставку объекта амортизируемого имущества, введенного в эксплуатацию до даты начала применения в отношении указанных налогоплательщиков положений законодательства Российской Федерации о налогах и сборах, и доведение его до состояния, в котором оно пригодно для использования, его достройку, дооборудование, реконструкцию, модернизацию, техническое перевооружение при отсутствии первичных учетных документов может осуществляться в ином порядке, если это предусмотрено законодательством.</w:t>
      </w:r>
    </w:p>
    <w:p>
      <w:pPr>
        <w:spacing w:after="120"/>
        <w:ind w:firstLine="709"/>
      </w:pPr>
      <w:r>
        <w:rPr>
          <w:sz w:val="24"/>
        </w:rPr>
        <w:t xml:space="preserve">(абзац введен Федеральным законом от 21.11.2022 N 443-ФЗ)</w:t>
      </w:r>
    </w:p>
    <w:p>
      <w:pPr>
        <w:spacing w:after="120"/>
        <w:ind w:firstLine="709"/>
      </w:pPr>
      <w:r>
        <w:rPr>
          <w:sz w:val="24"/>
        </w:rPr>
        <w:t xml:space="preserve">2. Первоначальная стоимость основных средств, нематериальных активов изменяется в случаях достройки, дооборудования, реконструкции, модернизации, технического перевооружения, частичной ликвидации соответствующих объектов и по иным аналогичным основаниям независимо от размера остаточной стоимости основных средств, нематериальных активов.</w:t>
      </w:r>
    </w:p>
    <w:p>
      <w:pPr>
        <w:spacing w:after="120"/>
        <w:ind w:firstLine="709"/>
      </w:pPr>
      <w:r>
        <w:rPr>
          <w:sz w:val="24"/>
        </w:rPr>
        <w:t xml:space="preserve">(в ред. Федеральных законов от 02.07.2021 N 305-ФЗ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К работам по достройке, дооборудованию, модернизации относятся работы, вызванные изменением технологического или служебного назначения оборудования, здания, сооружения или иного объекта амортизируемых основных средств, нематериальных активов, повышенными нагрузками и (или) другими новыми качествами.</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главы к реконструкции относится переустройство существующих объектов основных средств, связанное с совершенствованием производства и повышением его технико-экономических показателей и осуществляемое по проекту реконструкции основных средств в целях увеличения производственных мощностей, улучшения качества и изменения номенклатуры продукции.</w:t>
      </w:r>
    </w:p>
    <w:p>
      <w:pPr>
        <w:spacing w:after="120"/>
        <w:ind w:firstLine="709"/>
      </w:pPr>
      <w:r>
        <w:rPr>
          <w:sz w:val="24"/>
        </w:rPr>
        <w:t xml:space="preserve">К техническому перевооружению относится 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настоящей главы нематериальными активами признаются приобретенные и (или) созданные налогоплательщиком результаты интеллектуальной деятельности и иные объекты интеллектуальной собственности (исключительные права на них), используемые в производстве продукции (выполнении работ, оказании услуг) или для управленческих нужд организации в течение длительного времени (продолжительностью свыше 12 месяцев).</w:t>
      </w:r>
    </w:p>
    <w:p>
      <w:pPr>
        <w:spacing w:after="120"/>
        <w:ind w:firstLine="709"/>
      </w:pPr>
      <w:r>
        <w:rPr>
          <w:sz w:val="24"/>
        </w:rPr>
        <w:t xml:space="preserve">Для признания нематериального актива необходимо наличие способности приносить налогоплательщику экономические выгоды (доход), а также наличие надлежаще оформленных документов, подтверждающих существование самого нематериального актива и (или) исключительного права у налогоплательщика на результаты интеллектуальной деятельности (в том числе патенты, свидетельства, другие охранные документы, договор уступки (приобретения) патента, товарного знака).</w:t>
      </w:r>
    </w:p>
    <w:p>
      <w:pPr>
        <w:spacing w:after="120"/>
        <w:ind w:firstLine="709"/>
      </w:pPr>
      <w:r>
        <w:rPr>
          <w:sz w:val="24"/>
        </w:rPr>
        <w:t xml:space="preserve">К нематериальным активам, в частности, относятся:</w:t>
      </w:r>
    </w:p>
    <w:p>
      <w:pPr>
        <w:spacing w:after="120"/>
        <w:ind w:firstLine="709"/>
      </w:pPr>
      <w:r>
        <w:rPr>
          <w:sz w:val="24"/>
        </w:rPr>
        <w:t xml:space="preserve">1) исключительное право патентообладателя на изобретение, промышленный образец, полезную модель;</w:t>
      </w:r>
    </w:p>
    <w:p>
      <w:pPr>
        <w:spacing w:after="120"/>
        <w:ind w:firstLine="709"/>
      </w:pPr>
      <w:r>
        <w:rPr>
          <w:sz w:val="24"/>
        </w:rPr>
        <w:t xml:space="preserve">2) исключительное право автора и иного правообладателя на использование программы для ЭВМ, базы данных;</w:t>
      </w:r>
    </w:p>
    <w:p>
      <w:pPr>
        <w:spacing w:after="120"/>
        <w:ind w:firstLine="709"/>
      </w:pPr>
      <w:r>
        <w:rPr>
          <w:sz w:val="24"/>
        </w:rPr>
        <w:t xml:space="preserve">3) исключительное право автора или иного правообладателя на использование топологии интегральных микросхем;</w:t>
      </w:r>
    </w:p>
    <w:p>
      <w:pPr>
        <w:spacing w:after="120"/>
        <w:ind w:firstLine="709"/>
      </w:pPr>
      <w:r>
        <w:rPr>
          <w:sz w:val="24"/>
        </w:rPr>
        <w:t xml:space="preserve">4) исключительное право на товарный знак, знак обслуживания, наименование места происхождения товаров и фирменное наименование;</w:t>
      </w:r>
    </w:p>
    <w:p>
      <w:pPr>
        <w:spacing w:after="120"/>
        <w:ind w:firstLine="709"/>
      </w:pPr>
      <w:r>
        <w:rPr>
          <w:sz w:val="24"/>
        </w:rPr>
        <w:t xml:space="preserve">5) исключительное право патентообладателя на селекционные достижения;</w:t>
      </w:r>
    </w:p>
    <w:p>
      <w:pPr>
        <w:spacing w:after="120"/>
        <w:ind w:firstLine="709"/>
      </w:pPr>
      <w:r>
        <w:rPr>
          <w:sz w:val="24"/>
        </w:rPr>
        <w:t xml:space="preserve">6) владение "ноу-хау", секретной формулой или процессом, информацией в отношении промышленного, коммерческого или научного опыта;</w:t>
      </w:r>
    </w:p>
    <w:p>
      <w:pPr>
        <w:spacing w:after="120"/>
        <w:ind w:firstLine="709"/>
      </w:pPr>
      <w:r>
        <w:rPr>
          <w:sz w:val="24"/>
        </w:rPr>
        <w:t xml:space="preserve">7) исключительное право на аудиовизуальные произведения.</w:t>
      </w:r>
    </w:p>
    <w:p>
      <w:pPr>
        <w:spacing w:after="120"/>
        <w:ind w:firstLine="709"/>
      </w:pPr>
      <w:r>
        <w:rPr>
          <w:sz w:val="24"/>
        </w:rPr>
        <w:t xml:space="preserve">(абзац введен Федеральным законом от 23.07.2013 N 215-ФЗ)</w:t>
      </w:r>
    </w:p>
    <w:p>
      <w:pPr>
        <w:spacing w:after="120"/>
        <w:ind w:firstLine="709"/>
      </w:pPr>
      <w:r>
        <w:rPr>
          <w:sz w:val="24"/>
        </w:rPr>
        <w:t xml:space="preserve">Первоначальная стоимость амортизируемых нематериальных активов определяется как сумма расходов на их приобретение (создание) и доведение их до состояния, в котором они пригодны для использования, за исключением налога на добавленную стоимость и акцизов, кроме случаев, предусмотренных настоящим Кодексом.</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нематериальных активов, созданных самой организацией, определяется как сумма фактических расходов на их создание, изготовление (в том числе материальных расходов, расходов на оплату труда, расходов на услуги сторонних организаций, патентные пошлины, связанные с получением патентов, свидетельств), за исключением сумм налогов, учитываемых в составе расходов в соответствии с настоящим Кодексом.</w:t>
      </w:r>
    </w:p>
    <w:p>
      <w:pPr>
        <w:spacing w:after="120"/>
        <w:ind w:firstLine="709"/>
      </w:pPr>
      <w:r>
        <w:rPr>
          <w:sz w:val="24"/>
        </w:rPr>
        <w:t xml:space="preserve">При формировании первоначальной стоимости нематериальных активов в виде исключительных прав на программы для ЭВМ и базы данных, включенные в единый реестр российских программ для электронных вычислительных машин и баз данных, налогоплательщик вправе учитывать указанные расходы с применением коэффициента 2.</w:t>
      </w:r>
    </w:p>
    <w:p>
      <w:pPr>
        <w:spacing w:after="120"/>
        <w:ind w:firstLine="709"/>
      </w:pPr>
      <w:r>
        <w:rPr>
          <w:sz w:val="24"/>
        </w:rPr>
        <w:t xml:space="preserve">(абзац введен Федеральным законом от 14.07.2022 N 323-ФЗ;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Остаточная стоимость нематериальных активов определяется как разница между их первоначальной стоимостью и суммой, начисленной за период эксплуатации амортизации.</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К нематериальным активам не относятся:</w:t>
      </w:r>
    </w:p>
    <w:p>
      <w:pPr>
        <w:spacing w:after="120"/>
        <w:ind w:firstLine="709"/>
      </w:pPr>
      <w:r>
        <w:rPr>
          <w:sz w:val="24"/>
        </w:rPr>
        <w:t xml:space="preserve">1) не давшие положительного результата научно-исследовательские, опытно-конструкторские и технологические работы;</w:t>
      </w:r>
    </w:p>
    <w:p>
      <w:pPr>
        <w:spacing w:after="120"/>
        <w:ind w:firstLine="709"/>
      </w:pPr>
      <w:r>
        <w:rPr>
          <w:sz w:val="24"/>
        </w:rPr>
        <w:t xml:space="preserve">2) интеллектуальные и деловые качества работников организации, их квалификация и способность к труду.</w:t>
      </w:r>
    </w:p>
    <w:p>
      <w:pPr>
        <w:spacing w:after="120"/>
        <w:ind w:firstLine="709"/>
      </w:pPr>
      <w:r>
        <w:rPr>
          <w:sz w:val="24"/>
        </w:rPr>
        <w:t xml:space="preserve">4. Отнесение основного средства, включенного в единый реестр российской радиоэлектронной продукции, к сфере искусственного интеллекта осуществляется на основании предусмотренного данным реестром специального признака, указывающего, что такие основные средства относятся к сфере искусственного интеллекта.</w:t>
      </w:r>
    </w:p>
    <w:p>
      <w:pPr>
        <w:spacing w:after="120"/>
        <w:ind w:firstLine="709"/>
      </w:pPr>
      <w:r>
        <w:rPr>
          <w:sz w:val="24"/>
        </w:rPr>
        <w:t xml:space="preserve">(п. 4 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257</dc:title>
  <dc:creator>АРБИТРАЖ! · arbi.ru</dc:creator>
  <cp:lastModifiedBy>АРБИТРАЖ!</cp:lastModifiedBy>
  <dcterms:created xsi:type="dcterms:W3CDTF">2026-10-22T18:52:37.497Z</dcterms:created>
</cp:coreProperties>
</file>