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258</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258 НК РФ</w:t>
      </w:r>
    </w:p>
    <w:p>
      <w:pPr>
        <w:spacing w:after="120"/>
        <w:ind w:firstLine="709"/>
      </w:pPr>
      <w:r>
        <w:rPr>
          <w:sz w:val="24"/>
        </w:rPr>
        <w:t xml:space="preserve">- Нужно ли для целей налога на прибыль отражать в учетной политике сведения о применении амортизационной премии</w:t>
      </w:r>
    </w:p>
    <w:p>
      <w:pPr>
        <w:spacing w:after="120"/>
        <w:ind w:firstLine="709"/>
      </w:pPr>
      <w:r>
        <w:rPr>
          <w:sz w:val="24"/>
        </w:rPr>
        <w:t xml:space="preserve">- Когда можно учесть в расходах амортизационную премию, в том числе при реконструкции, модернизации основного средства</w:t>
      </w:r>
    </w:p>
    <w:p>
      <w:pPr>
        <w:spacing w:after="120"/>
        <w:ind w:firstLine="709"/>
      </w:pPr>
      <w:r>
        <w:rPr>
          <w:sz w:val="24"/>
        </w:rPr>
        <w:t xml:space="preserve">- Все вопросы по ст. 258 НК РФ</w:t>
      </w:r>
    </w:p>
    <w:p>
      <w:pPr>
        <w:spacing w:after="120"/>
        <w:ind w:firstLine="709"/>
      </w:pPr>
      <w:r>
        <w:rPr>
          <w:sz w:val="24"/>
        </w:rPr>
        <w:t xml:space="preserve">1. Амортизируемое имущество распределяется по амортизационным группам в соответствии со сроками его полезного использования. Сроком полезного использования признается период, в течение которого объект основных средств или объект нематериальных активов служит для выполнения целей деятельности налогоплательщика. Срок полезного использования определяется налогоплательщиком самостоятельно на дату ввода в эксплуатацию данного объекта амортизируемого имущества в соответствии с положениями настоящей статьи и с учетом классификации основных средств, утверждаемой Правительством Российской Федерации.</w:t>
      </w:r>
    </w:p>
    <w:p>
      <w:pPr>
        <w:spacing w:after="120"/>
        <w:ind w:firstLine="709"/>
      </w:pPr>
      <w:r>
        <w:rPr>
          <w:sz w:val="24"/>
        </w:rPr>
        <w:t xml:space="preserve">Налогоплательщик вправе увеличить срок полезного использования объекта основных средств после даты ввода его в эксплуатацию в случае, если после реконструкции, модернизации или технического перевооружения такого объекта увеличился срок его полезного использования. При этом увеличение срока полезного использования основных средств может быть осуществлено в пределах сроков, установленных для той амортизационной группы, в которую ранее было включено такое основное средство.</w:t>
      </w:r>
    </w:p>
    <w:p>
      <w:pPr>
        <w:spacing w:after="120"/>
        <w:ind w:firstLine="709"/>
      </w:pPr>
      <w:r>
        <w:rPr>
          <w:sz w:val="24"/>
        </w:rPr>
        <w:t xml:space="preserve">Если в результате реконструкции, модернизации или технического перевооружения объекта основных средств срок его полезного использования не увеличился, налогоплательщик применяет норму амортизации, определенную исходя из срока полезного использования, первоначально установленного для этого объекта основных средств.</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Капитальные вложения в арендованные объекты основных средств, указанные в абзаце первом пункта 1 статьи 256 настоящего Кодекса, амортизируются в следующем порядке:</w:t>
      </w:r>
    </w:p>
    <w:p>
      <w:pPr>
        <w:spacing w:after="120"/>
        <w:ind w:firstLine="709"/>
      </w:pPr>
      <w:r>
        <w:rPr>
          <w:sz w:val="24"/>
        </w:rPr>
        <w:t xml:space="preserve">капитальные вложения, стоимость которых возмещается арендатору арендодателем, амортизируются арендодателем в порядке, установленном настоящей главой;</w:t>
      </w:r>
    </w:p>
    <w:p>
      <w:pPr>
        <w:spacing w:after="120"/>
        <w:ind w:firstLine="709"/>
      </w:pPr>
      <w:r>
        <w:rPr>
          <w:sz w:val="24"/>
        </w:rPr>
        <w:t xml:space="preserve">капитальные вложения, произведенные арендатором с согласия арендодателя, стоимость которых не возмещается арендодателем, амортизируются арендатором в течение срока действия договора аренды исходя из сумм амортизации, рассчитанных с учетом срока полезного использования, определяемого для арендованных объектов основных средств или для капитальных вложений в указанные объекты в соответствии с классификацией основных средств, утверждаемой Правительством Российской Федерации.</w:t>
      </w:r>
    </w:p>
    <w:p>
      <w:pPr>
        <w:spacing w:after="120"/>
        <w:ind w:firstLine="709"/>
      </w:pPr>
      <w:r>
        <w:rPr>
          <w:sz w:val="24"/>
        </w:rPr>
        <w:t xml:space="preserve">(в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Капитальные вложения в объекты основных средств, полученные по договору безвозмездного пользования, указанные в абзаце первом пункта 1 статьи 256 настоящего Кодекса, амортизируются в следующем порядке:</w:t>
      </w:r>
    </w:p>
    <w:p>
      <w:pPr>
        <w:spacing w:after="120"/>
        <w:ind w:firstLine="709"/>
      </w:pPr>
      <w:r>
        <w:rPr>
          <w:sz w:val="24"/>
        </w:rPr>
        <w:t xml:space="preserve">капитальные вложения, стоимость которых возмещается организации-ссудополучателю организацией-ссудодателем, амортизируются организацией-ссудодателем в порядке, установленном настоящей главой;</w:t>
      </w:r>
    </w:p>
    <w:p>
      <w:pPr>
        <w:spacing w:after="120"/>
        <w:ind w:firstLine="709"/>
      </w:pPr>
      <w:r>
        <w:rPr>
          <w:sz w:val="24"/>
        </w:rPr>
        <w:t xml:space="preserve">капитальные вложения, произведенные организацией-ссудополучателем с согласия организации-ссудодателя, стоимость которых не возмещается организацией-ссудодателем, амортизируются организацией-ссудополучателем в течение срока действия договора безвозмездного пользования исходя из сумм амортизации, рассчитанных с учетом срока полезного использования, определяемого для полученных объектов основных средств или для капитальных вложений в указанные объекты в соответствии с классификацией основных средств, утверждаемой Правительством Российской Федерации.</w:t>
      </w:r>
    </w:p>
    <w:p>
      <w:pPr>
        <w:spacing w:after="120"/>
        <w:ind w:firstLine="709"/>
      </w:pPr>
      <w:r>
        <w:rPr>
          <w:sz w:val="24"/>
        </w:rPr>
        <w:t xml:space="preserve">(в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по объектам амортизируемого имущества, введенным в эксплуатацию до даты начала применения в отношении указанных налогоплательщиков положений законодательства Российской Федерации о налогах и сборах, определяют в соответствии с положениями настоящей статьи сроки полезного использования указанных объектов, исчисляемые начиная с даты ввода их в эксплуатацию.</w:t>
      </w:r>
    </w:p>
    <w:p>
      <w:pPr>
        <w:spacing w:after="120"/>
        <w:ind w:firstLine="709"/>
      </w:pPr>
      <w:r>
        <w:rPr>
          <w:sz w:val="24"/>
        </w:rPr>
        <w:t xml:space="preserve">(абзац введен Федеральным законом от 21.11.2022 N 443-ФЗ)</w:t>
      </w:r>
    </w:p>
    <w:p>
      <w:pPr>
        <w:spacing w:after="120"/>
        <w:ind w:firstLine="709"/>
      </w:pPr>
      <w:r>
        <w:rPr>
          <w:sz w:val="24"/>
        </w:rPr>
        <w:t xml:space="preserve">2. Определение срока полезного использования объекта нематериальных активов производится исходя из срока действия патента, свидетельства и (или) из других ограничений сроков использования объектов интеллектуальной собственности в соответствии с законодательством Российской Федерации или применимым законодательством иностранного государства, а также исходя из полезного срока использования нематериальных активов, обусловленного соответствующими договорами. По нематериальным активам, по которым невозможно определить срок полезного использования объекта нематериальных активов, нормы амортизации устанавливаются в расчете на срок полезного использования, равный 10 годам (но не более срока деятельности налогоплательщика).</w:t>
      </w:r>
    </w:p>
    <w:p>
      <w:pPr>
        <w:spacing w:after="120"/>
        <w:ind w:firstLine="709"/>
      </w:pPr>
      <w:r>
        <w:rPr>
          <w:sz w:val="24"/>
        </w:rPr>
        <w:t xml:space="preserve">По нематериальным активам, указанным в подпунктах 1 - 3 , 5 - 7 абзаца третьего пункта 3 статьи 257 настоящего Кодекса, налогоплательщик вправе самостоятельно определить срок полезного использования, который не может быть менее двух лет.</w:t>
      </w:r>
    </w:p>
    <w:p>
      <w:pPr>
        <w:spacing w:after="120"/>
        <w:ind w:firstLine="709"/>
      </w:pPr>
      <w:r>
        <w:rPr>
          <w:sz w:val="24"/>
        </w:rPr>
        <w:t xml:space="preserve">(абзац введен Федеральным законом от 28.12.2010 N 395-ФЗ, в ред. Федерального закона от 23.07.2013 N 215-ФЗ)</w:t>
      </w:r>
    </w:p>
    <w:p>
      <w:pPr>
        <w:spacing w:after="120"/>
        <w:ind w:firstLine="709"/>
      </w:pPr>
      <w:r>
        <w:rPr>
          <w:sz w:val="24"/>
        </w:rPr>
        <w:t xml:space="preserve">(см. текст в предыдущей редакции )</w:t>
      </w:r>
    </w:p>
    <w:p>
      <w:pPr>
        <w:spacing w:after="120"/>
        <w:ind w:firstLine="709"/>
      </w:pPr>
      <w:r>
        <w:rPr>
          <w:sz w:val="24"/>
        </w:rPr>
        <w:t xml:space="preserve">3. Амортизируемое имущество объединяется в следующие амортизационные группы:</w:t>
      </w:r>
    </w:p>
    <w:p>
      <w:pPr>
        <w:spacing w:after="120"/>
        <w:ind w:firstLine="709"/>
      </w:pPr>
      <w:r>
        <w:rPr>
          <w:sz w:val="24"/>
        </w:rPr>
        <w:t xml:space="preserve">первая группа - все недолговечное имущество со сроком полезного использования от 1 года до 2 лет включительно;</w:t>
      </w:r>
    </w:p>
    <w:p>
      <w:pPr>
        <w:spacing w:after="120"/>
        <w:ind w:firstLine="709"/>
      </w:pPr>
      <w:r>
        <w:rPr>
          <w:sz w:val="24"/>
        </w:rPr>
        <w:t xml:space="preserve">вторая группа - имущество со сроком полезного использования свыше 2 лет до 3 лет включительно;</w:t>
      </w:r>
    </w:p>
    <w:p>
      <w:pPr>
        <w:spacing w:after="120"/>
        <w:ind w:firstLine="709"/>
      </w:pPr>
      <w:r>
        <w:rPr>
          <w:sz w:val="24"/>
        </w:rPr>
        <w:t xml:space="preserve">третья группа - имущество со сроком полезного использования свыше 3 лет до 5 лет включительно;</w:t>
      </w:r>
    </w:p>
    <w:p>
      <w:pPr>
        <w:spacing w:after="120"/>
        <w:ind w:firstLine="709"/>
      </w:pPr>
      <w:r>
        <w:rPr>
          <w:sz w:val="24"/>
        </w:rPr>
        <w:t xml:space="preserve">четвертая группа - имущество со сроком полезного использования свыше 5 лет до 7 лет включительно;</w:t>
      </w:r>
    </w:p>
    <w:p>
      <w:pPr>
        <w:spacing w:after="120"/>
        <w:ind w:firstLine="709"/>
      </w:pPr>
      <w:r>
        <w:rPr>
          <w:sz w:val="24"/>
        </w:rPr>
        <w:t xml:space="preserve">пятая группа - имущество со сроком полезного использования свыше 7 лет до 10 лет включительно;</w:t>
      </w:r>
    </w:p>
    <w:p>
      <w:pPr>
        <w:spacing w:after="120"/>
        <w:ind w:firstLine="709"/>
      </w:pPr>
      <w:r>
        <w:rPr>
          <w:sz w:val="24"/>
        </w:rPr>
        <w:t xml:space="preserve">шестая группа - имущество со сроком полезного использования свыше 10 лет до 15 лет включительно;</w:t>
      </w:r>
    </w:p>
    <w:p>
      <w:pPr>
        <w:spacing w:after="120"/>
        <w:ind w:firstLine="709"/>
      </w:pPr>
      <w:r>
        <w:rPr>
          <w:sz w:val="24"/>
        </w:rPr>
        <w:t xml:space="preserve">седьмая группа - имущество со сроком полезного использования свыше 15 лет до 20 лет включительно;</w:t>
      </w:r>
    </w:p>
    <w:p>
      <w:pPr>
        <w:spacing w:after="120"/>
        <w:ind w:firstLine="709"/>
      </w:pPr>
      <w:r>
        <w:rPr>
          <w:sz w:val="24"/>
        </w:rPr>
        <w:t xml:space="preserve">восьмая группа - имущество со сроком полезного использования свыше 20 лет до 25 лет включительно;</w:t>
      </w:r>
    </w:p>
    <w:p>
      <w:pPr>
        <w:spacing w:after="120"/>
        <w:ind w:firstLine="709"/>
      </w:pPr>
      <w:r>
        <w:rPr>
          <w:sz w:val="24"/>
        </w:rPr>
        <w:t xml:space="preserve">девятая группа - имущество со сроком полезного использования свыше 25 лет до 30 лет включительно;</w:t>
      </w:r>
    </w:p>
    <w:p>
      <w:pPr>
        <w:spacing w:after="120"/>
        <w:ind w:firstLine="709"/>
      </w:pPr>
      <w:r>
        <w:rPr>
          <w:sz w:val="24"/>
        </w:rPr>
        <w:t xml:space="preserve">десятая группа - имущество со сроком полезного использования свыше 30 лет.</w:t>
      </w:r>
    </w:p>
    <w:p>
      <w:pPr>
        <w:spacing w:after="120"/>
        <w:ind w:firstLine="709"/>
      </w:pPr>
      <w:r>
        <w:rPr>
          <w:sz w:val="24"/>
        </w:rPr>
        <w:t xml:space="preserve">4. Классификация основных средств, включаемых в амортизационные группы, утверждается Правительством Российской Федерации.</w:t>
      </w:r>
    </w:p>
    <w:p>
      <w:pPr>
        <w:spacing w:after="120"/>
        <w:ind w:firstLine="709"/>
      </w:pPr>
      <w:r>
        <w:rPr>
          <w:sz w:val="24"/>
        </w:rPr>
        <w:t xml:space="preserve">5. Нематериальные активы включаются в амортизационные группы исходя из срока полезного использования, определенного в соответствии с пунктом 2 настоящей статьи.</w:t>
      </w:r>
    </w:p>
    <w:p>
      <w:pPr>
        <w:spacing w:after="120"/>
        <w:ind w:firstLine="709"/>
      </w:pPr>
      <w:r>
        <w:rPr>
          <w:sz w:val="24"/>
        </w:rPr>
        <w:t xml:space="preserve">6. Для тех видов основных средств, которые не указаны в амортизационных группах, срок полезного использования устанавливается налогоплательщиком в соответствии с техническими условиями или рекомендациями изготовителей.</w:t>
      </w:r>
    </w:p>
    <w:p>
      <w:pPr>
        <w:spacing w:after="120"/>
        <w:ind w:firstLine="709"/>
      </w:pPr>
      <w:r>
        <w:rPr>
          <w:sz w:val="24"/>
        </w:rPr>
        <w:t xml:space="preserve">7. Организация, приобретающая объекты основных средств, бывшие в употреблении (в том числе в виде вклада в уставный (складочный) капитал или в порядке правопреемства при реорганизации юридических лиц), в целях применения линейного метода начисления амортизации по этим объектам вправе определять норму амортизации по этому имуществу с учетом срока полезного использования, уменьшенного на количество лет (месяцев) эксплуатации данного имущества предыдущими собственниками. При этом срок полезного использования данных основных средств может быть определен как установленный предыдущим собственником этих основных средств срок их полезного использования, уменьшенный на количество лет (месяцев) эксплуатации данного имущества предыдущим собственником.</w:t>
      </w:r>
    </w:p>
    <w:p>
      <w:pPr>
        <w:spacing w:after="120"/>
        <w:ind w:firstLine="709"/>
      </w:pPr>
      <w:r>
        <w:rPr>
          <w:sz w:val="24"/>
        </w:rPr>
        <w:t xml:space="preserve">Если срок фактического использования данного основного средства у предыдущих собственников окажется равным сроку его полезного использования, определяемому классификацией основных средств, утвержденной Правительством Российской Федерации в соответствии с настоящей главой, или превышающим этот срок, налогоплательщик вправе самостоятельно определять срок полезного использования этого основного средства с учетом требований техники безопасности и других факторов.</w:t>
      </w:r>
    </w:p>
    <w:p>
      <w:pPr>
        <w:spacing w:after="120"/>
        <w:ind w:firstLine="709"/>
      </w:pPr>
      <w:r>
        <w:rPr>
          <w:sz w:val="24"/>
        </w:rPr>
        <w:t xml:space="preserve">8. По объектам амортизируемого имущества, указанным в абзаце первом пункта 3 статьи 259 настоящего Кодекса, амортизация начисляется отдельно по каждому объекту имущества в соответствии со сроком его полезного использования в порядке, установленном настоящей главой.</w:t>
      </w:r>
    </w:p>
    <w:p>
      <w:pPr>
        <w:spacing w:after="120"/>
        <w:ind w:firstLine="709"/>
      </w:pPr>
      <w:r>
        <w:rPr>
          <w:sz w:val="24"/>
        </w:rPr>
        <w:t xml:space="preserve">9. В целях настоящей главы амортизируемое имущество принимается на учет по первоначальной стоимости, определяемой в соответствии со статьей 257 настоящего Кодекса, если иное не предусмотрено настоящей главой.</w:t>
      </w:r>
    </w:p>
    <w:p>
      <w:pPr>
        <w:spacing w:after="120"/>
        <w:ind w:firstLine="709"/>
      </w:pPr>
      <w:r>
        <w:rPr>
          <w:sz w:val="24"/>
        </w:rPr>
        <w:t xml:space="preserve">Налогоплательщик имеет право, если иное не предусмотрено настоящей главой, включать в состав расходов отчетного (налогового) периода расходы на капитальные вложения в размере не более 10 процентов (не более 30 процентов - в отношении основных средств, относящихся к третьей - седьмой амортизационным группам) первоначальной стоимости основных средств (за исключением основных средств, полученных безвозмездно), а также не более 10 процентов (не более 30 процентов - в отношении основных средств, относящихся к третьей - седьмой амортизационным группам) расходов, которые понесены в случаях достройки, дооборудования, реконструкции, модернизации, технического перевооружения, частичной ликвидации основных средств и суммы которых определяются в соответствии со статьей 257 настоящего Кодекса.</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Если налогоплательщик использует указанное право, соответствующие объекты основных средств после их ввода в эксплуатацию включаются в амортизационные группы (подгруппы) по своей первоначальной стоимости за вычетом не более 10 процентов (не более 30 процентов - в отношении основных средств, относящихся к третьей - седьмой амортизационным группам) первоначальной стоимости, отнесенных в состав расходов отчетного (налогового) периода, а суммы, на которые изменяется первоначальная стоимость объектов в случаях достройки, дооборудования, реконструкции, модернизации, технического перевооружения, частичной ликвидации объектов, учитываются в суммарном балансе амортизационных групп (подгрупп) (изменяют первоначальную стоимость объектов, амортизация по которым начисляется линейным методом в соответствии со статьей 259 настоящего Кодекса) за вычетом не более 10 процентов (не более 30 процентов - в отношении основных средств, относящихся к третьей - седьмой амортизационным группам) таких сумм.</w:t>
      </w:r>
    </w:p>
    <w:p>
      <w:pPr>
        <w:spacing w:after="120"/>
        <w:ind w:firstLine="709"/>
      </w:pPr>
      <w:r>
        <w:rPr>
          <w:sz w:val="24"/>
        </w:rPr>
        <w:t xml:space="preserve">В случае, если основное средство, в отношении которого были применены положения абзаца второго настоящего пункта, реализовано ранее чем по истечении пяти лет с момента введения его в эксплуатацию лицу, являющемуся взаимозависимым с налогоплательщиком, суммы расходов, ранее включенных в состав расходов очередного отчетного (налогового) периода в соответствии с абзацем вторым настоящего пункта, подлежат включению в состав внереализационных доходов в том отчетном (налоговом) периоде, в котором была осуществлена такая реализация.</w:t>
      </w:r>
    </w:p>
    <w:p>
      <w:pPr>
        <w:spacing w:after="120"/>
        <w:ind w:firstLine="709"/>
      </w:pPr>
      <w:r>
        <w:rPr>
          <w:sz w:val="24"/>
        </w:rPr>
        <w:t xml:space="preserve">(в ред. Федерального закона от 29.11.2012 N 206-ФЗ)</w:t>
      </w:r>
    </w:p>
    <w:p>
      <w:pPr>
        <w:spacing w:after="120"/>
        <w:ind w:firstLine="709"/>
      </w:pPr>
      <w:r>
        <w:rPr>
          <w:sz w:val="24"/>
        </w:rPr>
        <w:t xml:space="preserve">(см. текст в предыдущей редакции )</w:t>
      </w:r>
    </w:p>
    <w:p>
      <w:pPr>
        <w:spacing w:after="120"/>
        <w:ind w:firstLine="709"/>
      </w:pPr>
      <w:r>
        <w:rPr>
          <w:sz w:val="24"/>
        </w:rPr>
        <w:t xml:space="preserve">10. Утратил силу. - Федеральный закон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11. Утратил силу с 1 января 2013 года. - Федеральный закон от 29.11.2012 N 206-ФЗ.</w:t>
      </w:r>
    </w:p>
    <w:p>
      <w:pPr>
        <w:spacing w:after="120"/>
        <w:ind w:firstLine="709"/>
      </w:pPr>
      <w:r>
        <w:rPr>
          <w:sz w:val="24"/>
        </w:rPr>
        <w:t xml:space="preserve">(см. текст в предыдущей редакции )</w:t>
      </w:r>
    </w:p>
    <w:p>
      <w:pPr>
        <w:spacing w:after="120"/>
        <w:ind w:firstLine="709"/>
      </w:pPr>
      <w:r>
        <w:rPr>
          <w:sz w:val="24"/>
        </w:rPr>
        <w:t xml:space="preserve">12. Приобретенные организацией объекты амортизируемого имущества, бывшие в употреблении, включаются в состав той амортизационной группы (подгруппы), в которую они были включены у предыдущего собственника.</w:t>
      </w:r>
    </w:p>
    <w:p>
      <w:pPr>
        <w:spacing w:after="120"/>
        <w:ind w:firstLine="709"/>
      </w:pPr>
      <w:r>
        <w:rPr>
          <w:sz w:val="24"/>
        </w:rPr>
        <w:t xml:space="preserve">13. Если организация, установившая в своей учетной политике применение нелинейного метода амортизации, применяет к нормам амортизации повышающие (понижающие) коэффициенты в соответствии со статьей 259.3 настоящего Кодекса и (или) осуществляет расходы на научные исследования и (или) опытно-конструкторские разработки, предусмотренные подпунктом 1 пункта 2 статьи 262 настоящего Кодекса, объекты амортизируемого имущества, к которым применяются такие коэффициенты, а также объекты амортизируемого имущества, используемые для выполнения научных исследований и (или) опытно-конструкторских разработок, формируют подгруппу в составе амортизационной группы и учет таких амортизационных групп и подгрупп ведется отдельно. Все правила создания или ликвидации группы, увеличения или уменьшения суммарного баланса группы распространяются на такие подгруппы, и к ним применяется норма амортизации, уточненная с помощью повышающего (понижающего) коэффициента.</w:t>
      </w:r>
    </w:p>
    <w:p>
      <w:pPr>
        <w:spacing w:after="120"/>
        <w:ind w:firstLine="709"/>
      </w:pPr>
      <w:r>
        <w:rPr>
          <w:sz w:val="24"/>
        </w:rPr>
        <w:t xml:space="preserve">(в ред. Федерального закона от 07.06.2011 N 132-ФЗ)</w:t>
      </w:r>
    </w:p>
    <w:p>
      <w:pPr>
        <w:spacing w:after="120"/>
        <w:ind w:firstLine="709"/>
      </w:pPr>
      <w:r>
        <w:rPr>
          <w:sz w:val="24"/>
        </w:rPr>
        <w:t xml:space="preserve">(см. текст в предыдущей редакции )</w:t>
      </w:r>
    </w:p>
    <w:p>
      <w:pPr>
        <w:spacing w:after="120"/>
        <w:ind w:firstLine="709"/>
      </w:pPr>
      <w:r>
        <w:rPr>
          <w:sz w:val="24"/>
        </w:rPr>
        <w:t xml:space="preserve">Применение к нормам амортизации объектов амортизируемого имущества повышающих (понижающих) коэффициентов влечет за собой соответствующее сокращение (увеличение) срока полезного использования таких объектов. При этом амортизационные подгруппы по объектам амортизируемого имущества, к нормам амортизации которых применяются повышающие (понижающие) коэффициенты, формируются в составе амортизационной группы исходя из определенного классификацией основных средств, утвержденной Правительством Российской Федерации, срока полезного использования без учета его увеличения (уменьшения).</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258</dc:title>
  <dc:creator>АРБИТРАЖ! · arbi.ru</dc:creator>
  <cp:lastModifiedBy>АРБИТРАЖ!</cp:lastModifiedBy>
  <dcterms:created xsi:type="dcterms:W3CDTF">2026-10-22T22:46:33.070Z</dcterms:created>
</cp:coreProperties>
</file>