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259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26.11.2008 N 224-ФЗ)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259 НК РФ</w:t>
      </w:r>
    </w:p>
    <w:p>
      <w:pPr>
        <w:spacing w:after="120"/>
        <w:ind w:firstLine="709"/>
      </w:pPr>
      <w:r>
        <w:rPr>
          <w:sz w:val="24"/>
        </w:rPr>
        <w:t xml:space="preserve">- Можно ли в налоговом учете амортизировать основное средство, приобретенное в рассрочку, если оно еще не полностью оплачено</w:t>
      </w:r>
    </w:p>
    <w:p>
      <w:pPr>
        <w:spacing w:after="120"/>
        <w:ind w:firstLine="709"/>
      </w:pPr>
      <w:r>
        <w:rPr>
          <w:sz w:val="24"/>
        </w:rPr>
        <w:t xml:space="preserve">1. В целях настоящей главы налогоплательщики вправе выбрать один из следующих методов начисления амортизации с учетом особенностей, предусмотренных настоящей главой:</w:t>
      </w:r>
    </w:p>
    <w:p>
      <w:pPr>
        <w:spacing w:after="120"/>
        <w:ind w:firstLine="709"/>
      </w:pPr>
      <w:r>
        <w:rPr>
          <w:sz w:val="24"/>
        </w:rPr>
        <w:t xml:space="preserve">1) линейный метод;</w:t>
      </w:r>
    </w:p>
    <w:p>
      <w:pPr>
        <w:spacing w:after="120"/>
        <w:ind w:firstLine="709"/>
      </w:pPr>
      <w:r>
        <w:rPr>
          <w:sz w:val="24"/>
        </w:rPr>
        <w:t xml:space="preserve">2) нелинейный метод.</w:t>
      </w:r>
    </w:p>
    <w:p>
      <w:pPr>
        <w:spacing w:after="120"/>
        <w:ind w:firstLine="709"/>
      </w:pPr>
      <w:r>
        <w:rPr>
          <w:sz w:val="24"/>
        </w:rPr>
        <w:t xml:space="preserve">Метод начисления амортизации устанавливается налогоплательщиком самостоятельно применительно ко всем объектам амортизируемого имущества (за исключением объектов, амортизация по которым начисляется линейным методом в соответствии с пунктом 3 настоящей статьи) и отражается в учетной политике для целей налогообложения. Изменение метода начисления амортизации допускается с начала очередного налогового периода. При этом налогоплательщик вправе менять метод начисления амортизации не чаще одного раза в пять лет.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29.09.2019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Установленные настоящим пунктом методы начисления амортизации применяются ко всем основным средствам вне зависимости от даты их приобретения.</w:t>
      </w:r>
    </w:p>
    <w:p>
      <w:pPr>
        <w:spacing w:after="120"/>
        <w:ind w:firstLine="709"/>
      </w:pPr>
      <w:r>
        <w:rPr>
          <w:sz w:val="24"/>
        </w:rPr>
        <w:t xml:space="preserve">2. Сумма амортизации для целей налогообложения определяется налогоплательщиками ежемесячно в порядке, установленном настоящей главой. Амортизация начисляется отдельно по каждой амортизационной группе (подгруппе) при применении нелинейного метода начисления амортизации или отдельно по каждому объекту амортизируемого имущества при применении линейного метода начисления амортизации.</w:t>
      </w:r>
    </w:p>
    <w:p>
      <w:pPr>
        <w:spacing w:after="120"/>
        <w:ind w:firstLine="709"/>
      </w:pPr>
      <w:r>
        <w:rPr>
          <w:sz w:val="24"/>
        </w:rPr>
        <w:t xml:space="preserve">3. Вне зависимости от установленного налогоплательщиком в учетной политике для целей налогообложения метода начисления амортизации линейный метод начисления амортизации применяется в отношении зданий, сооружений, передаточных устройств, нематериальных активов, входящих в восьмую - десятую амортизационные группы, независимо от срока ввода в эксплуатацию соответствующих объектов, а также амортизируемых основных средств, используемых налогоплательщиками, указанными в пункте 1 статьи 275.2 настоящего Кодекса, исключительно при осуществлении деятельности, связанной с добычей углеводородного сырья на новом морском месторождении углеводородного сырья.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30.09.2013 N 268-ФЗ)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отношении прочих объектов амортизируемого имущества независимо от срока введения объектов в эксплуатацию применяется только метод начисления амортизации, установленный налогоплательщиком в учетной политике для целей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4. Начисление амортизации по объектам амортизируемого имущества, в том числе по объектам основных средств, права на которые подлежат государственной регистрации в соответствии с законодательством Российской Федерации, начинается с 1-го числа месяца, следующего за месяцем, в котором этот объект был введен в эксплуатацию, независимо от даты его государственной регистрации.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29.11.2012 N 206-ФЗ)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Если организация в течение какого-либо календарного месяца была учреждена, ликвидирована, реорганизована или иначе преобразована таким образом, что в соответствии со статьей 55 настоящего Кодекса налоговый период для нее начинается либо заканчивается до окончания календарного месяца, то амортизация начисляется с учетом следующих особенностей:</w:t>
      </w:r>
    </w:p>
    <w:p>
      <w:pPr>
        <w:spacing w:after="120"/>
        <w:ind w:firstLine="709"/>
      </w:pPr>
      <w:r>
        <w:rPr>
          <w:sz w:val="24"/>
        </w:rPr>
        <w:t xml:space="preserve">1) амортизация начисляется ликвидируемой организацией по месяц (включительно), в котором завершена ликвидация, а реорганизуемой организацией - по месяц (включительно), в котором в установленном порядке завершена реорганизация;</w:t>
      </w:r>
    </w:p>
    <w:p>
      <w:pPr>
        <w:spacing w:after="120"/>
        <w:ind w:firstLine="709"/>
      </w:pPr>
      <w:r>
        <w:rPr>
          <w:sz w:val="24"/>
        </w:rPr>
        <w:t xml:space="preserve">2) амортизация начисляется учреждаемой, образующейся в результате реорганизации организацией с 1-го числа месяца, следующего за месяцем, в котором была осуществлена ее государственная регистрация.</w:t>
      </w:r>
    </w:p>
    <w:p>
      <w:pPr>
        <w:spacing w:after="120"/>
        <w:ind w:firstLine="709"/>
      </w:pPr>
      <w:r>
        <w:rPr>
          <w:sz w:val="24"/>
        </w:rPr>
        <w:t xml:space="preserve">Положения настоящего пункта не распространяются на организации, изменяющие свою организационно-правовую форму.</w:t>
      </w:r>
    </w:p>
    <w:p>
      <w:pPr>
        <w:spacing w:after="120"/>
        <w:ind w:firstLine="709"/>
      </w:pPr>
      <w:r>
        <w:rPr>
          <w:sz w:val="24"/>
        </w:rPr>
        <w:t xml:space="preserve">6. Утратил силу с 1 января 2021 года. - Федеральный закон от 31.07.2020 N 265-ФЗ.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Театры, музеи, библиотеки, концертные организации, являющиеся бюджетными учреждениями, имеют право не применять установленный настоящей статьей порядок амортизации в отношении объектов амортизируемого имущества, за исключением объектов недвижимого имущества. В этом случае осуществленные за счет средств от приносящей доход деятельности расходы указанных организаций по приобретению и (или) созданию амортизируемого имущества и расходы, осуществленные в случаях достройки, дооборудования, реконструкции, модернизации, технического перевооружения объектов основных средств, признаются в составе материальных расходов в полной сумме по мере ввода соответствующих объектов в эксплуатацию.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23.07.2013 N 215-ФЗ)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259</dc:title>
  <dc:creator>АРБИТРАЖ! · arbi.ru</dc:creator>
  <cp:lastModifiedBy>АРБИТРАЖ!</cp:lastModifiedBy>
  <dcterms:created xsi:type="dcterms:W3CDTF">2026-10-22T18:22:54.774Z</dcterms:created>
</cp:coreProperties>
</file>