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260 НК РФ</w:t>
      </w:r>
    </w:p>
    <w:p>
      <w:pPr>
        <w:spacing w:after="120"/>
        <w:ind w:firstLine="709"/>
      </w:pPr>
      <w:r>
        <w:rPr>
          <w:sz w:val="24"/>
        </w:rPr>
        <w:t xml:space="preserve">- Можно ли учесть в расходах по налогу на прибыль затраты на ремонт объектов внешнего благоустройства</w:t>
      </w:r>
    </w:p>
    <w:p>
      <w:pPr>
        <w:spacing w:after="120"/>
        <w:ind w:firstLine="709"/>
      </w:pPr>
      <w:r>
        <w:rPr>
          <w:sz w:val="24"/>
        </w:rPr>
        <w:t xml:space="preserve">1. Расходы на ремонт основных средств и иного имущества, произведенные налогоплательщиком, рассматриваются как прочие расходы и признаются для целей налогообложения в том отчетном (налоговом) периоде, в котором они были осуществлены,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применяются также в отношении расходов арендатора амортизируемых основных средств, если договором (соглашением) между арендатором и арендодателем возмещение указанных расходов арендодателем не предусмотрено.</w:t>
      </w:r>
    </w:p>
    <w:p>
      <w:pPr>
        <w:spacing w:after="120"/>
        <w:ind w:firstLine="709"/>
      </w:pPr>
      <w:r>
        <w:rPr>
          <w:sz w:val="24"/>
        </w:rPr>
        <w:t xml:space="preserve">3. 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порядком, установленным статьей 324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260</dc:title>
  <dc:creator>АРБИТРАЖ! · arbi.ru</dc:creator>
  <cp:lastModifiedBy>АРБИТРАЖ!</cp:lastModifiedBy>
  <dcterms:created xsi:type="dcterms:W3CDTF">2026-10-22T20:20:39.633Z</dcterms:created>
</cp:coreProperties>
</file>