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268 НК РФ</w:t>
      </w:r>
    </w:p>
    <w:p>
      <w:pPr>
        <w:spacing w:after="120"/>
        <w:ind w:firstLine="709"/>
      </w:pPr>
      <w:r>
        <w:rPr>
          <w:sz w:val="24"/>
        </w:rPr>
        <w:t xml:space="preserve">- Как учитываются для целей налога на прибыль расходы на приобретение земельных участков</w:t>
      </w:r>
    </w:p>
    <w:p>
      <w:pPr>
        <w:spacing w:after="120"/>
        <w:ind w:firstLine="709"/>
      </w:pPr>
      <w:r>
        <w:rPr>
          <w:sz w:val="24"/>
        </w:rPr>
        <w:t xml:space="preserve">- Все вопросы по ст. 268 НК РФ</w:t>
      </w:r>
    </w:p>
    <w:p>
      <w:pPr>
        <w:spacing w:after="120"/>
        <w:ind w:firstLine="709"/>
      </w:pPr>
      <w:r>
        <w:rPr>
          <w:sz w:val="24"/>
        </w:rPr>
        <w:t xml:space="preserve">1. При реализации товаров и (или) имущественных прав налогоплательщик вправе уменьшить доходы от таких операций на стоимость реализованных товаров и (или) имущественных прав, определяемую в следующем порядке:</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статьей 286.1 настоящего Кодекса и налогового вычета в соответствии со статьей 343.6 настоящего Кодекса) - на остаточную стоимость амортизируемого имущества, определяемую в соответствии с пунктами 1 и 3 статьи 257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реализовал основное средство ранее чем по истечении пяти лет с момента введения его в эксплуатацию лицу, являющемуся взаимозависимым с налогоплательщиком, и в отношении такого основного средства были применены положения абзаца второго пункта 9 статьи 258 настоящего Кодекса, остаточная стоимость при реализации указанного амортизируемого имущества увеличивается на сумму расходов, включенных в состав внереализационных доходов в соответствии с абзацем четвертым пункта 9 статьи 258 настоящего Кодекса. А в случае, если в отношении реализованного амортизируемого имущества были применены положения пункта 11 статьи 286.2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пунктом 11 статьи 286.2 настоящего Кодекса;</w:t>
      </w:r>
    </w:p>
    <w:p>
      <w:pPr>
        <w:spacing w:after="120"/>
        <w:ind w:firstLine="709"/>
      </w:pPr>
      <w:r>
        <w:rPr>
          <w:sz w:val="24"/>
        </w:rPr>
        <w:t xml:space="preserve">(абзац введен Федеральным законом от 29.11.2012 N 206-ФЗ; в ред. Федеральных законов от 12.07.2024 N 176-ФЗ (ред. 29.10.2024),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пунктом 2.2 статьи 277 настоящего Кодекса, а также на сумму расходов, указанных в абзаце втором пункта 2 статьи 254 настоящего Кодекса;</w:t>
      </w:r>
    </w:p>
    <w:p>
      <w:pPr>
        <w:spacing w:after="120"/>
        <w:ind w:firstLine="709"/>
      </w:pPr>
      <w:r>
        <w:rPr>
          <w:sz w:val="24"/>
        </w:rPr>
        <w:t xml:space="preserve">(в ред. Федеральных законов от 06.06.2005 N 58-ФЗ , от 25.11.2009 N 281-ФЗ , от 15.02.2016 N 32-ФЗ )</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сумму расходов , связанных с их приобретением и реализацией, а также на величину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организаций, доли (паи) которых были приобретены, если иное не предусмотрено пунктом 10 статьи 309.1 или пунктом 2.2 статьи 277 настоящего Кодекса. Величина вклада в виде денежных средств в имущество организации, уменьшающая доходы от реализации долей (паев), рассчитывается пропорционально реализуемым долям (паям) в общей величине долей (паев), принадлежащих налогоплательщику.</w:t>
      </w:r>
    </w:p>
    <w:p>
      <w:pPr>
        <w:spacing w:after="120"/>
        <w:ind w:firstLine="709"/>
      </w:pPr>
      <w:r>
        <w:rPr>
          <w:sz w:val="24"/>
        </w:rPr>
        <w:t xml:space="preserve">(в ред. Федеральных законов от 15.02.2016 N 32-ФЗ , от 09.11.2020 N 368-ФЗ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абзацами третьим и четвертым пункта 5.3 статьи 272 настоящего Кодекса), цена приобретения этих имущественных прав уменьшается на сумму указанных расходов.</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пунктами 4 - 6 статьи 277 настоящего Кодекса.</w:t>
      </w:r>
    </w:p>
    <w:p>
      <w:pPr>
        <w:spacing w:after="120"/>
        <w:ind w:firstLine="709"/>
      </w:pPr>
      <w:r>
        <w:rPr>
          <w:sz w:val="24"/>
        </w:rPr>
        <w:t xml:space="preserve">При реализации имущественного права, которое представляет собой право требования долга, налоговая база определяется с учетом положений, установленных статьей 279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(долей участия), прощенные обязательства по оплате которых учитываются для целей налогообложения в соответствии с подпунктами 21.5 и 21.7 пункта 1 статьи 251 настоящего Кодекса, их стоимость признается равной нулю;</w:t>
      </w:r>
    </w:p>
    <w:p>
      <w:pPr>
        <w:spacing w:after="120"/>
        <w:ind w:firstLine="709"/>
      </w:pPr>
      <w:r>
        <w:rPr>
          <w:sz w:val="24"/>
        </w:rPr>
        <w:t xml:space="preserve">(абзац введен Федеральным законом от 31.07.2023 N 389-ФЗ; 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(пп. 2.1 введен Федеральным законом от 06.06.2005 N 58-ФЗ)</w:t>
      </w:r>
    </w:p>
    <w:p>
      <w:pPr>
        <w:spacing w:after="120"/>
        <w:ind w:firstLine="709"/>
      </w:pPr>
      <w:r>
        <w:rPr>
          <w:sz w:val="24"/>
        </w:rPr>
        <w:t xml:space="preserve">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w:t>
      </w:r>
    </w:p>
    <w:p>
      <w:pPr>
        <w:spacing w:after="120"/>
        <w:ind w:firstLine="709"/>
      </w:pPr>
      <w:r>
        <w:rPr>
          <w:sz w:val="24"/>
        </w:rPr>
        <w:t xml:space="preserve">по стоимости первых по времени приобретения (ФИФО);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по средней стоимости;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 стоимости единицы товара.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При реализации имущества и (или) имущественных прав, указанных в настоящей статье,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оценке,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статьи 320 настоящего Кодекса;</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объекта основных средств (нематериального актива),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(нематериального актива) при условии восстановления в соответствии с пунктом 12 статьи 286.1 настоящего Кодекса суммы налога, не уплаченной в связи с применением такого вычета;</w:t>
      </w:r>
    </w:p>
    <w:p>
      <w:pPr>
        <w:spacing w:after="120"/>
        <w:ind w:firstLine="709"/>
      </w:pPr>
      <w:r>
        <w:rPr>
          <w:sz w:val="24"/>
        </w:rPr>
        <w:t xml:space="preserve">(пп. 4 введен Федеральным законом от 27.11.2017 N 335-ФЗ;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объекта основных средств, в отношении которого налогоплательщик использовал право на применение инвестиционного налогового вычета в части стоимости основного средства, - на остаточную стоимость амортизируемого имущества, определяемую в соответствии с пунктом 1 статьи 257 настоящего Кодекса, соответствующую части первоначальной стоимости такого объекта основных средств, сформированной за счет расходов, в части которых налогоплательщик не использовал право на применение инвестиционного налогового вычета.</w:t>
      </w:r>
    </w:p>
    <w:p>
      <w:pPr>
        <w:spacing w:after="120"/>
        <w:ind w:firstLine="709"/>
      </w:pPr>
      <w:r>
        <w:rPr>
          <w:sz w:val="24"/>
        </w:rPr>
        <w:t xml:space="preserve">(пп. 5 введен Федеральным законом от 09.11.2020 N 368-ФЗ)</w:t>
      </w:r>
    </w:p>
    <w:p>
      <w:pPr>
        <w:spacing w:after="120"/>
        <w:ind w:firstLine="709"/>
      </w:pPr>
      <w:r>
        <w:rPr>
          <w:sz w:val="24"/>
        </w:rPr>
        <w:t xml:space="preserve">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частью четырнадцатой статьи 313 настоящего Кодекса.</w:t>
      </w:r>
    </w:p>
    <w:p>
      <w:pPr>
        <w:spacing w:after="120"/>
        <w:ind w:firstLine="709"/>
      </w:pPr>
      <w:r>
        <w:rPr>
          <w:sz w:val="24"/>
        </w:rPr>
        <w:t xml:space="preserve">(п. 1.1 введен Федеральным законом от 21.11.2022 N 443-ФЗ)</w:t>
      </w:r>
    </w:p>
    <w:p>
      <w:pPr>
        <w:spacing w:after="120"/>
        <w:ind w:firstLine="709"/>
      </w:pPr>
      <w:r>
        <w:rPr>
          <w:sz w:val="24"/>
        </w:rPr>
        <w:t xml:space="preserve">2. Если цена приобретения (создания) имущества (имущественных прав), указанного в подпунктах 2 , 2.1 и 3 пункта 1 и пункте 1.1 настоящей статьи, с учетом расходов, связанных с его приобретением и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pPr>
        <w:spacing w:after="120"/>
        <w:ind w:firstLine="709"/>
      </w:pPr>
      <w:r>
        <w:rPr>
          <w:sz w:val="24"/>
        </w:rPr>
        <w:t xml:space="preserve">(в ред. Федеральных законов от 22.07.2008 N 158-ФЗ , от 09.11.2020 N 368-ФЗ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3. Если остаточная стоимость амортизируемого имущества, указанного в подпункте 1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амортизируемого имущества, при формировании первоначальной стоимости которого применялись положения абзаца третьего пункта 1 и абзаца тринадцатого пункта 3 статьи 257 настоящего Кодекса, убыток от реализации такого амортизируемого имущества признается равным нулю.</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268</dc:title>
  <dc:creator>АРБИТРАЖ! · arbi.ru</dc:creator>
  <cp:lastModifiedBy>АРБИТРАЖ!</cp:lastModifiedBy>
  <dcterms:created xsi:type="dcterms:W3CDTF">2026-10-22T22:35:35.597Z</dcterms:created>
</cp:coreProperties>
</file>