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274 НК РФ</w:t>
      </w:r>
    </w:p>
    <w:p>
      <w:pPr>
        <w:spacing w:after="120"/>
        <w:ind w:firstLine="709"/>
      </w:pPr>
      <w:r>
        <w:rPr>
          <w:sz w:val="24"/>
        </w:rPr>
        <w:t xml:space="preserve">- Должна ли инспекция уменьшить базу по налогу на прибыль при доначислении иных налогов в ходе выездной проверки</w:t>
      </w:r>
    </w:p>
    <w:p>
      <w:pPr>
        <w:spacing w:after="120"/>
        <w:ind w:firstLine="709"/>
      </w:pPr>
      <w:r>
        <w:rPr>
          <w:sz w:val="24"/>
        </w:rPr>
        <w:t xml:space="preserve">- Все вопросы по ст. 274 НК РФ</w:t>
      </w:r>
    </w:p>
    <w:p>
      <w:pPr>
        <w:spacing w:after="120"/>
        <w:ind w:firstLine="709"/>
      </w:pPr>
      <w:r>
        <w:rPr>
          <w:sz w:val="24"/>
        </w:rPr>
        <w:t xml:space="preserve">1. Налоговой базой для целей настоящей главы признается денежное выражение прибыли, определяемой в соответствии со статьей 247 настоящего Кодекса, подлежащей налогообложению, если иное не предусмотрено настоящей статьей.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w:t>
      </w:r>
    </w:p>
    <w:p>
      <w:pPr>
        <w:spacing w:after="120"/>
        <w:ind w:firstLine="709"/>
      </w:pPr>
      <w:r>
        <w:rPr>
          <w:sz w:val="24"/>
        </w:rPr>
        <w:t xml:space="preserve">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участия в уставном (складочном) капитале) российской или иностранной организации, 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чем 10-процентным вкладом (долей) в уставном (складочном) капитале такой организации.</w:t>
      </w:r>
    </w:p>
    <w:p>
      <w:pPr>
        <w:spacing w:after="120"/>
        <w:ind w:firstLine="709"/>
      </w:pPr>
      <w:r>
        <w:rPr>
          <w:sz w:val="24"/>
        </w:rPr>
        <w:t xml:space="preserve">(п. 1.1 введен Федеральным законом от 28.11.2025 N 425-ФЗ)</w:t>
      </w:r>
    </w:p>
    <w:p>
      <w:pPr>
        <w:spacing w:after="120"/>
        <w:ind w:firstLine="709"/>
      </w:pPr>
      <w:r>
        <w:rPr>
          <w:sz w:val="24"/>
        </w:rPr>
        <w:t xml:space="preserve">2. Налоговая база по прибыли, облагаемой по ставке, отличной от ставки, указанной в пункте 1 статьи 284 настоящего Кодекса, определяется налогоплательщиком отдельно. Налогоплательщик ведет раздельный учет доходов (расходов) по операциям, по которым в соответствии с настоящей главой предусмотрен отличный от общего порядок учета прибыли и убытка.</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и расходы налогоплательщика в целях настоящей главы учитываются в денежной форме.</w:t>
      </w:r>
    </w:p>
    <w:p>
      <w:pPr>
        <w:spacing w:after="120"/>
        <w:ind w:firstLine="709"/>
      </w:pPr>
      <w:r>
        <w:rPr>
          <w:sz w:val="24"/>
        </w:rPr>
        <w:t xml:space="preserve">4. Доходы, полученные в натуральной форме в результате реализации товаров (работ, услуг), имущественных прав (включая товарообменные операции), учитываются, если иное не предусмотрено настоящим Кодексом, исходя из цены сделки с учетом положений статьи 105.3 настоящего Кодекса.</w:t>
      </w:r>
    </w:p>
    <w:p>
      <w:pPr>
        <w:spacing w:after="120"/>
        <w:ind w:firstLine="709"/>
      </w:pPr>
      <w:r>
        <w:rPr>
          <w:sz w:val="24"/>
        </w:rPr>
        <w:t xml:space="preserve">(в ред. Федеральных законов от 29.05.2002 N 57-ФЗ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5. Внереализационные доходы, полученные в натуральной форме, учитываются при определении налоговой базы исходя из цены сделки с учетом положений статьи 105.3 настоящего Кодекса, если иное не предусмотрено настоящей главой.</w:t>
      </w:r>
    </w:p>
    <w:p>
      <w:pPr>
        <w:spacing w:after="120"/>
        <w:ind w:firstLine="709"/>
      </w:pPr>
      <w:r>
        <w:rPr>
          <w:sz w:val="24"/>
        </w:rPr>
        <w:t xml:space="preserve">(в ред. Федерального закона от 18.07.2011 N 227-ФЗ)</w:t>
      </w:r>
    </w:p>
    <w:p>
      <w:pPr>
        <w:spacing w:after="120"/>
        <w:ind w:firstLine="709"/>
      </w:pPr>
      <w:r>
        <w:rPr>
          <w:sz w:val="24"/>
        </w:rPr>
        <w:t xml:space="preserve">(см. текст в предыдущей редакции )</w:t>
      </w:r>
    </w:p>
    <w:p>
      <w:pPr>
        <w:spacing w:after="120"/>
        <w:ind w:firstLine="709"/>
      </w:pPr>
      <w:r>
        <w:rPr>
          <w:sz w:val="24"/>
        </w:rPr>
        <w:t xml:space="preserve">6. Для целей настоящей статьи рыночные цены определяются в порядке, аналогичном порядку определения рыночных цен, установленному статьей 105.3 настоящего Кодекса, на момент реализации или совершения внереализационных операций (без включения в них налога на добавленную стоимость, акциза).</w:t>
      </w:r>
    </w:p>
    <w:p>
      <w:pPr>
        <w:spacing w:after="120"/>
        <w:ind w:firstLine="709"/>
      </w:pPr>
      <w:r>
        <w:rPr>
          <w:sz w:val="24"/>
        </w:rPr>
        <w:t xml:space="preserve">(в ред. Федеральных законов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налоговой базы прибыль, подлежащая налогообложению, определяется нарастающим итогом с начала налогового периода.</w:t>
      </w:r>
    </w:p>
    <w:p>
      <w:pPr>
        <w:spacing w:after="120"/>
        <w:ind w:firstLine="709"/>
      </w:pPr>
      <w:r>
        <w:rPr>
          <w:sz w:val="24"/>
        </w:rPr>
        <w:t xml:space="preserve">8. В случае, если в отчетном (налоговом) периоде налогоплательщиком получен убыток - отрицательная разница между доходами, определяемыми в соответствии с настоящей главой, и расходами, учитываемыми в целях налогообложения в порядке, предусмотренном настоящей главой, в данном отчетном (налоговом) периоде налоговая база признается равной нулю.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Убытки, полученные в отчетном (налоговом) периоде, принимаются в целях налогообложения в порядке и на условиях, установленных пунктом 1 статьи 278.1 и статьей 283 настоящего Кодекса.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9. При исчислении налоговой базы не учитываются в составе доходов и расходов налогоплательщиков доходы и расходы, относящиеся к игорному бизнесу, подлежащему налогообложению в соответствии с главой 25.5 настоящего Кодекса, за исключением доходов и расходов, полученных (осуществленных) организатором азартных игр от осуществления деятельности по организации и проведению азартных игр в букмекерской конторе или тотализаторе.</w:t>
      </w:r>
    </w:p>
    <w:p>
      <w:pPr>
        <w:spacing w:after="120"/>
        <w:ind w:firstLine="709"/>
      </w:pPr>
      <w:r>
        <w:rPr>
          <w:sz w:val="24"/>
        </w:rPr>
        <w:t xml:space="preserve">Налогоплательщики, получающие доходы от деятельности, относящейся к игорному бизнесу (за исключением доходов от деятельности по организации и проведению азартных игр в букмекерской конторе или тотализаторе), обязаны вести раздельный учет доходов и расходов по такой деятельности.</w:t>
      </w:r>
    </w:p>
    <w:p>
      <w:pPr>
        <w:spacing w:after="120"/>
        <w:ind w:firstLine="709"/>
      </w:pPr>
      <w:r>
        <w:rPr>
          <w:sz w:val="24"/>
        </w:rPr>
        <w:t xml:space="preserve">(п. 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10. Налогоплательщики, применяющие в соответствии с настоящим Кодексом специальные налоговые режимы, при исчислении налоговой базы по налогу не учитывают доходы и расходы, относящиеся к таким режимам.</w:t>
      </w:r>
    </w:p>
    <w:p>
      <w:pPr>
        <w:spacing w:after="120"/>
        <w:ind w:firstLine="709"/>
      </w:pPr>
      <w:r>
        <w:rPr>
          <w:sz w:val="24"/>
        </w:rPr>
        <w:t xml:space="preserve">11. Особенности определения налоговой базы по банкам устанавливаются с учетом положений статей 290 - 292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Особенности определения налоговой базы организаций, осуществляющих ОМС, установлены ст. 294.1 НК РФ.</w:t>
      </w:r>
    </w:p>
    <w:p>
      <w:pPr>
        <w:spacing w:after="120"/>
        <w:ind w:firstLine="709"/>
      </w:pPr>
      <w:r>
        <w:rPr>
          <w:sz w:val="24"/>
        </w:rPr>
        <w:t xml:space="preserve">12. Особенности определения налоговой базы по страховщикам устанавливаются с учетом положений статей 293 и 294 настоящего Кодекса.</w:t>
      </w:r>
    </w:p>
    <w:p>
      <w:pPr>
        <w:spacing w:after="120"/>
        <w:ind w:firstLine="709"/>
      </w:pPr>
      <w:r>
        <w:rPr>
          <w:sz w:val="24"/>
        </w:rPr>
        <w:t xml:space="preserve">13. Особенности определения налоговой базы по негосударственным пенсионным фондам устанавливаются с учетом положений статей 295 и 296 настоящего Кодекса.</w:t>
      </w:r>
    </w:p>
    <w:p>
      <w:pPr>
        <w:spacing w:after="120"/>
        <w:ind w:firstLine="709"/>
      </w:pPr>
      <w:r>
        <w:rPr>
          <w:sz w:val="24"/>
        </w:rPr>
        <w:t xml:space="preserve">14. Особенности определения налоговой базы по профессиональным участникам рынка ценных бумаг устанавливаются с учетом положений статей 298 и 299 настоящего Кодекса.</w:t>
      </w:r>
    </w:p>
    <w:p>
      <w:pPr>
        <w:spacing w:after="120"/>
        <w:ind w:firstLine="709"/>
      </w:pPr>
      <w:r>
        <w:rPr>
          <w:sz w:val="24"/>
        </w:rPr>
        <w:t xml:space="preserve">15. Особенности определения налоговой базы по операциям с ценными бумагами устанавливаются в статье 280 с учетом положений статей 281 , 282 и 304 настоящего Кодекса.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16. Особенности определения налоговой базы по операциям с производными финансовыми инструментами устанавливаются с учетом положений статьи 280 и статей 301 - 305 настоящего Кодекса.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17. Особенности определения налоговой базы клиринговыми организациями устанавливаются с учетом положений статей 299.1 и 299.2 настоящего Кодекса.</w:t>
      </w:r>
    </w:p>
    <w:p>
      <w:pPr>
        <w:spacing w:after="120"/>
        <w:ind w:firstLine="709"/>
      </w:pPr>
      <w:r>
        <w:rPr>
          <w:sz w:val="24"/>
        </w:rPr>
        <w:t xml:space="preserve">(п. 17 введен Федеральным законом от 25.11.2009 N 281-ФЗ)</w:t>
      </w:r>
    </w:p>
    <w:p>
      <w:pPr>
        <w:spacing w:after="120"/>
        <w:ind w:firstLine="709"/>
      </w:pPr>
      <w:r>
        <w:rPr>
          <w:sz w:val="24"/>
        </w:rPr>
        <w:t xml:space="preserve">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и прекратившая использовать право на освобождение от исполнения обязанностей налогоплательщика, по основанию, предусмотренному абзацем третьим пункта 2 статьи 246.1 настоящего Кодекса, определяет нарастающим итогом совокупный размер прибыли, полученной за истекшие налоговые периоды с начала того налогового периода, в котором годовой объем выручки, полученной участником проекта, превысил один миллиард рублей.</w:t>
      </w:r>
    </w:p>
    <w:p>
      <w:pPr>
        <w:spacing w:after="120"/>
        <w:ind w:firstLine="709"/>
      </w:pPr>
      <w:r>
        <w:rPr>
          <w:sz w:val="24"/>
        </w:rPr>
        <w:t xml:space="preserve">(в ред. Федеральных законов от 28.11.2011 N 339-ФЗ , от 30.10.2018 N 373-ФЗ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пункте совокупный размер прибыли определяется как суммы прибыли (убытка), рассчитанные по итогам каждого предыдущего налогового периода. Для целей настоящего пункта при определении совокупного размера прибыли не учитывается прибыль (убыток), полученная по итогам налоговых периодов, предшествующих налоговому периоду, в котором годовой объем выручки, полученной участником проекта, превысил один миллиард рублей.</w:t>
      </w:r>
    </w:p>
    <w:p>
      <w:pPr>
        <w:spacing w:after="120"/>
        <w:ind w:firstLine="709"/>
      </w:pPr>
      <w:r>
        <w:rPr>
          <w:sz w:val="24"/>
        </w:rPr>
        <w:t xml:space="preserve">Форма расчета совокупного размера прибыли устанавливается Министерством финансов Российской Федерации.</w:t>
      </w:r>
    </w:p>
    <w:p>
      <w:pPr>
        <w:spacing w:after="120"/>
        <w:ind w:firstLine="709"/>
      </w:pPr>
      <w:r>
        <w:rPr>
          <w:sz w:val="24"/>
        </w:rPr>
        <w:t xml:space="preserve">(п. 18 введен Федеральным законом от 28.09.2010 N 243-ФЗ)</w:t>
      </w:r>
    </w:p>
    <w:p>
      <w:pPr>
        <w:spacing w:after="120"/>
        <w:ind w:firstLine="709"/>
      </w:pPr>
      <w:r>
        <w:rPr>
          <w:sz w:val="24"/>
        </w:rPr>
        <w:t xml:space="preserve">19. Налоговая база по прибыли, полученной участниками консолидированной группы налогоплательщиков, определяется ответственным участником этой группы в порядке, установленном настоящей статьей, с учетом особенностей, установленных статьями 278.1 и 288 настоящего Кодекса.</w:t>
      </w:r>
    </w:p>
    <w:p>
      <w:pPr>
        <w:spacing w:after="120"/>
        <w:ind w:firstLine="709"/>
      </w:pPr>
      <w:r>
        <w:rPr>
          <w:sz w:val="24"/>
        </w:rPr>
        <w:t xml:space="preserve">(п. 19 введен Федеральным законом от 16.11.2011 N 321-ФЗ)</w:t>
      </w:r>
    </w:p>
    <w:p>
      <w:pPr>
        <w:spacing w:after="120"/>
        <w:ind w:firstLine="709"/>
      </w:pPr>
      <w:r>
        <w:rPr>
          <w:sz w:val="24"/>
        </w:rPr>
        <w:t xml:space="preserve">20. Особенности определения налоговой базы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устанавливаются статьей 275.2 настоящего Кодекса.</w:t>
      </w:r>
    </w:p>
    <w:p>
      <w:pPr>
        <w:spacing w:after="120"/>
        <w:ind w:firstLine="709"/>
      </w:pPr>
      <w:r>
        <w:rPr>
          <w:sz w:val="24"/>
        </w:rPr>
        <w:t xml:space="preserve">(п. 20 введен Федеральным законом от 30.09.2013 N 268-ФЗ)</w:t>
      </w:r>
    </w:p>
    <w:p>
      <w:pPr>
        <w:spacing w:after="120"/>
        <w:ind w:firstLine="709"/>
      </w:pPr>
      <w:r>
        <w:rPr>
          <w:sz w:val="24"/>
        </w:rPr>
        <w:t xml:space="preserve">21. Налоговая база, определяемая контролирующими лицами по прибыли контролируемых ими иностранных компаний, определяется с учетом особенностей, установленных статьей 309.1 настоящего Кодекса, и не подлежит уменьшению на величину расходов по прочей деятельности, а также убытков, полученных от прочей деятельности контролирующих лиц.</w:t>
      </w:r>
    </w:p>
    <w:p>
      <w:pPr>
        <w:spacing w:after="120"/>
        <w:ind w:firstLine="709"/>
      </w:pPr>
      <w:r>
        <w:rPr>
          <w:sz w:val="24"/>
        </w:rPr>
        <w:t xml:space="preserve">(п. 21 введен Федеральным законом от 24.11.2014 N 376-ФЗ)</w:t>
      </w:r>
    </w:p>
    <w:p>
      <w:pPr>
        <w:spacing w:after="120"/>
        <w:ind w:firstLine="709"/>
      </w:pPr>
      <w:r>
        <w:rPr>
          <w:sz w:val="24"/>
        </w:rPr>
        <w:t xml:space="preserve">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устанавливаются с учетом положений статьи 282.2 настоящего Кодекса.</w:t>
      </w:r>
    </w:p>
    <w:p>
      <w:pPr>
        <w:spacing w:after="120"/>
        <w:ind w:firstLine="709"/>
      </w:pPr>
      <w:r>
        <w:rPr>
          <w:sz w:val="24"/>
        </w:rPr>
        <w:t xml:space="preserve">(п. 22 введен Федеральным законом от 14.07.2022 N 324-ФЗ)</w:t>
      </w:r>
    </w:p>
    <w:p>
      <w:pPr>
        <w:spacing w:after="120"/>
        <w:ind w:firstLine="709"/>
      </w:pPr>
      <w:r>
        <w:rPr>
          <w:sz w:val="24"/>
        </w:rPr>
        <w:t xml:space="preserve">КонсультантПлюс: примечание.</w:t>
      </w:r>
    </w:p>
    <w:p>
      <w:pPr>
        <w:spacing w:after="120"/>
        <w:ind w:firstLine="709"/>
      </w:pPr>
      <w:r>
        <w:rPr>
          <w:sz w:val="24"/>
        </w:rPr>
        <w:t xml:space="preserve">П. 23 ст. 274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23. Особенности определения налоговой базы налогоплательщиками - участниками соглашения о защите и поощрении капиталовложений устанавливаются статьей 288.4 настоящего Кодекса.</w:t>
      </w:r>
    </w:p>
    <w:p>
      <w:pPr>
        <w:spacing w:after="120"/>
        <w:ind w:firstLine="709"/>
      </w:pPr>
      <w:r>
        <w:rPr>
          <w:sz w:val="24"/>
        </w:rPr>
        <w:t xml:space="preserve">(п. 23 введен Федеральным законом от 28.06.2022 N 225-ФЗ (ред. 21.11.2022))</w:t>
      </w:r>
    </w:p>
    <w:p>
      <w:pPr>
        <w:spacing w:after="120"/>
        <w:ind w:firstLine="709"/>
      </w:pPr>
      <w:r>
        <w:rPr>
          <w:sz w:val="24"/>
        </w:rPr>
        <w:t xml:space="preserve">24. Особенности определения налоговой базы по операциям с цифровой валютой устанавливаются с учетом положений статьи 282.3 настоящего Кодекса.</w:t>
      </w:r>
    </w:p>
    <w:p>
      <w:pPr>
        <w:spacing w:after="120"/>
        <w:ind w:firstLine="709"/>
      </w:pPr>
      <w:r>
        <w:rPr>
          <w:sz w:val="24"/>
        </w:rPr>
        <w:t xml:space="preserve">(п. 24 введен Федеральным законом от 29.11.2024 N 418-ФЗ)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274</dc:title>
  <dc:creator>АРБИТРАЖ! · arbi.ru</dc:creator>
  <cp:lastModifiedBy>АРБИТРАЖ!</cp:lastModifiedBy>
  <dcterms:created xsi:type="dcterms:W3CDTF">2026-10-22T08:59:57.361Z</dcterms:created>
</cp:coreProperties>
</file>