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275.3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03.08.2018 N 294-ФЗ)</w:t>
      </w:r>
    </w:p>
    <w:p>
      <w:pPr>
        <w:spacing w:after="120"/>
        <w:ind w:firstLine="709"/>
      </w:pPr>
      <w:r>
        <w:rPr>
          <w:sz w:val="24"/>
        </w:rPr>
        <w:t xml:space="preserve">1. Международные компании и иностранные организации, признаваемые налоговыми резидентами Российской Федерации, формируют стоимость имущества (имущественных прав) соответственно на дату регистрации в качестве международной компании или на дату признания налоговым резидентом Российской Федерации с учетом следующих особенностей:</w:t>
      </w:r>
    </w:p>
    <w:p>
      <w:pPr>
        <w:spacing w:after="120"/>
        <w:ind w:firstLine="709"/>
      </w:pPr>
      <w:r>
        <w:rPr>
          <w:sz w:val="24"/>
        </w:rPr>
        <w:t xml:space="preserve">1) если иное не предусмотрено настоящим пунктом, имущество (имущественные права), в том числе амортизируемое имущество, принимается для целей налогового учета исходя из документально подтвержденной стоимости объектов имущества (имущественных прав) по данным учета иностранной организации, регистрируемой в качестве международной компании, или иностранной организации, признаваемой налоговым резидентом Российской Федерации, на дату, предшествующую дате регистрации международной компании, или на дату, предшествующую дате признания иностранной организации налоговым резидентом Российской Федерации, но не выше рыночной стоимости такого имущества (имущественных прав), определяемой в соответствии со статьей 105.3 настоящего Кодекса. При этом документально подтвержденной стоимостью объектов имущества (имущественных прав), подлежащих амортизации, признается остаточная стоимость соответствующих объектов основных средств и (или) нематериальных активов, определяемая по данным учета иностранной организации, регистрируемой в качестве международной компании, или иностранной организации, признаваемой налоговым резидентом Российской Федерации;</w:t>
      </w:r>
    </w:p>
    <w:p>
      <w:pPr>
        <w:spacing w:after="120"/>
        <w:ind w:firstLine="709"/>
      </w:pPr>
      <w:r>
        <w:rPr>
          <w:sz w:val="24"/>
        </w:rPr>
        <w:t xml:space="preserve">КонсультантПлюс: примечание.</w:t>
      </w:r>
    </w:p>
    <w:p>
      <w:pPr>
        <w:spacing w:after="120"/>
        <w:ind w:firstLine="709"/>
      </w:pPr>
      <w:r>
        <w:rPr>
          <w:sz w:val="24"/>
        </w:rPr>
        <w:t xml:space="preserve">Пп. 2 п. 1 ст. 275.3 в отношении международных компаний, зарегистрированных до 31.12.2019 и в период с 01.01.2020 по 31.12.2024 применяется с учетом особенностей, установленных соответственно ФЗ от 03.08.2018 N 294-ФЗ , от 26.03.2022 N 66-ФЗ .</w:t>
      </w:r>
    </w:p>
    <w:p>
      <w:pPr>
        <w:spacing w:after="120"/>
        <w:ind w:firstLine="709"/>
      </w:pPr>
      <w:r>
        <w:rPr>
          <w:sz w:val="24"/>
        </w:rPr>
        <w:t xml:space="preserve">2) если иное не предусмотрено подпунктом 4 настоящего пункта, ценные бумаги (обращающиеся и не обращающиеся на организованном рынке ценных бумаг) принимаются исходя из документально подтвержденных фактических затрат на их приобретение по данным финансового учета организации;</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 п. 1 ст. 275.3 в отношении международных компаний, зарегистрированных до 31.12.2019 и в период с 01.01.2020 по 31.12.2024 применяется с учетом особенностей, установленных соответственно ФЗ от 03.08.2018 N 294-ФЗ , от 26.03.2022 N 66-ФЗ .</w:t>
      </w:r>
    </w:p>
    <w:p>
      <w:pPr>
        <w:spacing w:after="120"/>
        <w:ind w:firstLine="709"/>
      </w:pPr>
      <w:r>
        <w:rPr>
          <w:sz w:val="24"/>
        </w:rPr>
        <w:t xml:space="preserve">3) если иное не предусмотрено подпунктом 4 настоящего пункта, стоимость долей участия в уставном (складочном) капитале (фонде) российских и иностранных организаций принимается исходя из документально подтвержденных фактических затрат на приобретение этих долей по данным финансового учета организации;</w:t>
      </w:r>
    </w:p>
    <w:p>
      <w:pPr>
        <w:spacing w:after="120"/>
        <w:ind w:firstLine="709"/>
      </w:pPr>
      <w:r>
        <w:rPr>
          <w:sz w:val="24"/>
        </w:rPr>
        <w:t xml:space="preserve">4) стоимость акций или долей участия в организациях, не являющихся публичными компаниями, более 50 процентов активов которых на последнюю отчетную дату, предшествующую дате регистрации международной компании или дате признания иностранной организации налоговым резидентом Российской Федерации, прямо или косвенно состоят из недвижимого имущества, находящегося на территории Российской Федерации, при их принятии к учету определяется исходя из документально подтвержденных фактических затрат на приобретение таких акций (долей участия), но не выше их рыночной стоимости (котировки), рассчитанной в соответствии с настоящим подпунктом и подпунктом 3 настоящего пункта.</w:t>
      </w:r>
    </w:p>
    <w:p>
      <w:pPr>
        <w:spacing w:after="120"/>
        <w:ind w:firstLine="709"/>
      </w:pPr>
      <w:r>
        <w:rPr>
          <w:sz w:val="24"/>
        </w:rPr>
        <w:t xml:space="preserve">В случае, если стоимость акций (долей участия), указанных в настоящем подпункте, на дату их принятия к учету выражена в иностранной валюте, соответствующая стоимость в рублях определяется по официальному курсу Центрального банка Российской Федерации, действовавшему на дату приобретения в собственность иностранной организацией соответствующих акций (долей).</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предусмотрено настоящей статьей, в случае, если стоимость имущества (имущественных прав) на дату его принятия к учету выражена в иностранной валюте, соответствующая стоимость в рублях определяется по официальному курсу Центрального банка Российской Федерации, действовавшему на дату регистрации международной компании или признания иностранной компании налоговым резидентом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275.3</dc:title>
  <dc:creator>АРБИТРАЖ! · arbi.ru</dc:creator>
  <cp:lastModifiedBy>АРБИТРАЖ!</cp:lastModifiedBy>
  <dcterms:created xsi:type="dcterms:W3CDTF">2026-10-22T20:23:01.897Z</dcterms:created>
</cp:coreProperties>
</file>