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по консолидированной группе налогоплательщиков (далее в настоящей главе - консолидированная налоговая база) определяется как сумма всех налоговых баз участников консолидированной группы с учетом особенностей, установленных настоящей статьей. При этом налоговая база каждого участника консолидированной группы налогоплательщиков определяется в порядке, установленном статьей 274 настоящего Кодекса, с учетом положений статьи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налоговую базу каждого участника консолидированной группы налогоплательщиков, включаемую в консолидированную налоговую базу, не включаются доходы участников консолидированной группы налогоплательщиков, подлежащие обложению налогом у источника выплаты доходов.</w:t>
      </w:r>
    </w:p>
    <w:p>
      <w:pPr>
        <w:spacing w:after="120"/>
        <w:ind w:firstLine="709"/>
      </w:pPr>
      <w:r>
        <w:rPr>
          <w:sz w:val="24"/>
        </w:rPr>
        <w:t xml:space="preserve">Убытки, полученные участниками консолидированной группы налогоплательщиков в отчетном (налоговом) периоде, подлежат суммированию. Консолидированная налоговая база текущего отчетного (налогового) периода определяется с учетом указанной суммы убытков. При этом такая сумма убытков учитывается в размере, не превышающем 50 процентов консолидированной налоговой базы текущего отчетного (налогового) периода. Порядок учета убытков участников консолидированной группы налогоплательщиков при определении консолидированной налоговой базы текущего отчетного (налогового) периода устанавливается в учетной политике для целей налогообложения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Сумма убытка участника консолидированной группы налогоплательщиков, оставшаяся не учтенной при определении консолидированной налоговой базы за налоговый период, принимается в целях налогообложения у такого участника в порядке и на условиях, которые установлены статьей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отчетном (налоговом) периоде убытки получены всеми участниками консолидированной группы налогоплательщиков, в данном отчетном (налоговом) периоде консолидированная налоговая база признается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Налоговый учет операций, осуществляемых между участниками консолидированной группы налогоплательщиков, ведется в соответствии со статьей 321.2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Участники консолидированной группы налогоплательщиков не формируют резервы по сомнительным долгам в соответствии со статьей 266 настоящего Кодекса в части задолженности одних участников этой группы перед другими участниками такой группы.</w:t>
      </w:r>
    </w:p>
    <w:p>
      <w:pPr>
        <w:spacing w:after="120"/>
        <w:ind w:firstLine="709"/>
      </w:pPr>
      <w:r>
        <w:rPr>
          <w:sz w:val="24"/>
        </w:rPr>
        <w:t xml:space="preserve">Участники консолидированной группы налогоплательщиков восстанавливают резерв по сомнительным долгам на сумму задолженности, относящейся к другим участникам этой группы. Соответствующие суммы включаются в состав внереализационных доходов в налоговом периоде, предшествующем налоговому периоду, в котором налогоплательщик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4. Участники консолидированной группы налогоплательщиков не формируют резервы по гарантийному ремонту и гарантийному обслуживанию в соответствии со статьей 267 настоящего Кодекса в части реализации товаров (работ) другим участникам этой группы.</w:t>
      </w:r>
    </w:p>
    <w:p>
      <w:pPr>
        <w:spacing w:after="120"/>
        <w:ind w:firstLine="709"/>
      </w:pPr>
      <w:r>
        <w:rPr>
          <w:sz w:val="24"/>
        </w:rPr>
        <w:t xml:space="preserve">При вхождении налогоплательщика в состав консолидированной группы налогоплательщиков резерв по гарантийному ремонту и гарантийному обслуживанию восстанавливается в части сумм резервов, относящихся к товарам (работам), реализованным другим участникам этой группы. При этом производится корректировка определяемого в соответствии с пунктом 3 статьи 267 настоящего Кодекса предельного размера резерва, исключающая операции между участниками одной консолидированной группы налогоплательщиков при определении показателей фактически осуществленных налогоплательщиком расходов по гарантийному ремонту и гарантийному обслуживанию, в объеме выручки от реализации указанных товаров (работ) за предыдущие три года, а также выручки от реализации указанных товаров (работ) за отчетный (налоговый) период.</w:t>
      </w:r>
    </w:p>
    <w:p>
      <w:pPr>
        <w:spacing w:after="120"/>
        <w:ind w:firstLine="709"/>
      </w:pPr>
      <w:r>
        <w:rPr>
          <w:sz w:val="24"/>
        </w:rPr>
        <w:t xml:space="preserve">Корректировка показателя выручки от реализации товаров (работ) за предыдущие три года до начала налогового периода, в котором налогоплательщик стал участником консолидированной группы налогоплательщиков, не производится. В налоговых периодах, в которых налогоплательщик является участником консолидированной группы налогоплательщиков, этот показатель не включает выручку от реализации указанных товаров (работ) другим участникам такой группы.</w:t>
      </w:r>
    </w:p>
    <w:p>
      <w:pPr>
        <w:spacing w:after="120"/>
        <w:ind w:firstLine="709"/>
      </w:pPr>
      <w:r>
        <w:rPr>
          <w:sz w:val="24"/>
        </w:rPr>
        <w:t xml:space="preserve">Суммы восстановленных резервов по гарантийному ремонту и гарантийному обслуживанию, в том числе в результате уменьшения предельного размера резерва, включаются в состав внереализационных доходов в налоговом периоде, предшествующем налоговому периоду, в котором налогоплательщик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5. Банки, являющиеся участниками консолидированной группы налогоплательщиков, не формируют резервы на возможные потери по ссудам по ссудной и приравненной к ней задолженности, включая задолженность по межбанковским кредитам и депозитам, в соответствии со статьей 292 настоящего Кодекса в части задолженности одних участников консолидированной группы налогоплательщиков перед другими участниками этой группы.</w:t>
      </w:r>
    </w:p>
    <w:p>
      <w:pPr>
        <w:spacing w:after="120"/>
        <w:ind w:firstLine="709"/>
      </w:pPr>
      <w:r>
        <w:rPr>
          <w:sz w:val="24"/>
        </w:rPr>
        <w:t xml:space="preserve">Банки восстанавливают резерв на возможные потери по ссудам по ссудной и приравненной к ней задолженности, включая задолженность по межбанковским кредитам и депозитам, на сумму задолженности, относящейся к другим участникам этой группы. Соответствующие суммы включаются в состав внереализационных доходов в налоговом периоде, предшествующем налоговому периоду, в котором банк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6. Участники консолидированной группы налогоплательщиков, понесшие убытки, исчисленные в соответствии с настоящей главой, в налоговых периодах, предшествующих налоговому периоду их вхождения в состав этой группы, не вправе уменьшить консолидированную налоговую базу на всю сумму понесенного ими убытка (на часть этой суммы) (перенести убыток на будущее) в порядке, установленном статьями 275.1 и 283 настоящего Кодекса, начиная с налогового периода, в котором они вошли в состав такой группы.</w:t>
      </w:r>
    </w:p>
    <w:p>
      <w:pPr>
        <w:spacing w:after="120"/>
        <w:ind w:firstLine="709"/>
      </w:pPr>
      <w:r>
        <w:rPr>
          <w:sz w:val="24"/>
        </w:rPr>
        <w:t xml:space="preserve">Не допускается суммирование убытков участников консолидированной группы налогоплательщиков (включая убытки, понесенные от использования объектов обслуживающих производств и хозяйств, в соответствии со статьей 275.1 настоящего Кодекса), понесенных ими до вхождения в состав этой группы, с консолидированной налоговой базой. Указанное положение распространяется также на убытки, понесенные организациями, которые вошли в состав консолидированной группы налогоплательщиков путем присоединения к участнику этой группы или слияния с участником такой группы.</w:t>
      </w:r>
    </w:p>
    <w:p>
      <w:pPr>
        <w:spacing w:after="120"/>
        <w:ind w:firstLine="709"/>
      </w:pPr>
      <w:r>
        <w:rPr>
          <w:sz w:val="24"/>
        </w:rPr>
        <w:t xml:space="preserve">7. Нормативы принимаемых для целей налогообложения расходов, предусмотренные пунктами 16 и 24.1 части второй статьи 255 , подпунктом 6 пункта 2 статьи 262 , подпунктами 11 и 48.2 пункта 1 , пунктами 2 и 4 статьи 264 , пунктом 4 статьи 266 , подпунктом 4 пункта 2 статьи 296 настоящего Кодекса, применяются каждым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8. Особенности определения налоговой базы по операциям с ценными бумагами и производными финансовыми инструментами, установленные настоящим Кодексом для налогоплательщиков, не являющихся профессиональными участниками рынка ценных бумаг, в части отдельного определения налоговой базы, а также в части уменьшения налоговой базы на сумму полученных убытков и переноса убытков на будущее применяются при исчислении консолидированной налоговой базы.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Правила, установленные настоящей статьей, распространяются исключительно на определение налоговой базы, к которой применяется налоговая ставка, установленная пунктом 1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Участники консолидированной группы налогоплательщиков самостоятельно в соответствии с настоящей главой определяют налоговую базу, к которой применяются иные налоговые ставки. Указанная в настоящем абзаце налоговая база не учитывается при исчислении налога по консолидированной группе налогоплательщиков.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278.1</dc:title>
  <dc:creator>АРБИТРАЖ! · arbi.ru</dc:creator>
  <cp:lastModifiedBy>АРБИТРАЖ!</cp:lastModifiedBy>
  <dcterms:created xsi:type="dcterms:W3CDTF">2026-10-22T20:25:40.626Z</dcterms:created>
</cp:coreProperties>
</file>