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279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279 НК РФ</w:t>
      </w:r>
    </w:p>
    <w:p>
      <w:pPr>
        <w:spacing w:after="120"/>
        <w:ind w:firstLine="709"/>
      </w:pPr>
      <w:r>
        <w:rPr>
          <w:sz w:val="24"/>
        </w:rPr>
        <w:t xml:space="preserve">- Учитываются ли расходы, связанные с приобретением права требования долга, при полном или частичном погашении должником обязательства</w:t>
      </w:r>
    </w:p>
    <w:p>
      <w:pPr>
        <w:spacing w:after="120"/>
        <w:ind w:firstLine="709"/>
      </w:pPr>
      <w:r>
        <w:rPr>
          <w:sz w:val="24"/>
        </w:rPr>
        <w:t xml:space="preserve">- Все вопросы по ст. 279 НК РФ</w:t>
      </w:r>
    </w:p>
    <w:p>
      <w:pPr>
        <w:spacing w:after="120"/>
        <w:ind w:firstLine="709"/>
      </w:pPr>
      <w:r>
        <w:rPr>
          <w:sz w:val="24"/>
        </w:rPr>
        <w:t xml:space="preserve">1. При уступке налогоплательщиком - продавцом товаров (работ, услуг), осуществляющим исчисление доходов (расходов) по методу начисления, права требования долга третьему лицу до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реализованных товаров (работ, услуг) признается убытком налогоплательщика.</w:t>
      </w:r>
    </w:p>
    <w:p>
      <w:pPr>
        <w:spacing w:after="120"/>
        <w:ind w:firstLine="709"/>
      </w:pPr>
      <w:r>
        <w:rPr>
          <w:sz w:val="24"/>
        </w:rPr>
        <w:t xml:space="preserve">При этом размер убытка для целей налогообложения не может превышать сумму процентов, которую налогоплательщик уплатил бы исходя из максимальной ставки процента, установленной для соответствующего вида валюты пунктом 1.2 статьи 269 настоящего Кодекса, либо по выбору налогоплательщика исходя из ставки процента, подтвержденной в соответствии с методами, установленными разделом V.1 настоящего Кодекса по долговому обязательству, равному доходу от уступки права требования, за период от даты уступки до даты платежа, предусмотренного договором на реализацию товаров (работ, услуг). Положения настоящего пункта и абзаца первого пункта 4 настоящей статьи также применяются к налогоплательщику-кредитору по долговому обязательству. Порядок учета убытка в соответствии с настоящим пунктом должен быть закреплен в учетной политике налогоплательщика.</w:t>
      </w:r>
    </w:p>
    <w:p>
      <w:pPr>
        <w:spacing w:after="120"/>
        <w:ind w:firstLine="709"/>
      </w:pPr>
      <w:r>
        <w:rPr>
          <w:sz w:val="24"/>
        </w:rPr>
        <w:t xml:space="preserve">Положения абзаца второго настоящего пункта в части ограничения размера убытка не применяются при уступке налогоплательщиком-банком прав (требований) в случае, если такая уступка прав (требований) осуществляется в рамках реализации мероприятий, предусмотренных планом участия Банка России в осуществлении мер по предупреждению банкротства банка, либо если уступка прав (требований), перечень которых определен актом Правительства Российской Федерации, принятым на основании части 1 статьи 5 Федерального закона от 29 июля 2018 года N 263-ФЗ "О внесении изменений в отдельные законодательные акты Российской Федерации", осуществляется в соответствии с порядком, определенным частью 1 статьи 5 указанного Федерального закона.</w:t>
      </w:r>
    </w:p>
    <w:p>
      <w:pPr>
        <w:spacing w:after="120"/>
        <w:ind w:firstLine="709"/>
      </w:pPr>
      <w:r>
        <w:rPr>
          <w:sz w:val="24"/>
        </w:rPr>
        <w:t xml:space="preserve">(абзац введен Федеральным законом от 06.06.2019 N 125-ФЗ)</w:t>
      </w:r>
    </w:p>
    <w:p>
      <w:pPr>
        <w:spacing w:after="120"/>
        <w:ind w:firstLine="709"/>
      </w:pPr>
      <w:r>
        <w:rPr>
          <w:sz w:val="24"/>
        </w:rPr>
        <w:t xml:space="preserve">(п. 1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2. При уступке налогоплательщиком - продавцом товара (работ, услуг), осуществляющим исчисление доходов (расходов) по методу начисления, права требования долга третьему лицу после наступления предусмотренного договором о реализации товаров (работ, услуг) срока платежа отрицательная разница между доходом от реализации права требования долга и стоимостью реализованного товара (работ, услуг) признается убытком по сделке уступки права требования на дату уступки права требования.</w:t>
      </w:r>
    </w:p>
    <w:p>
      <w:pPr>
        <w:spacing w:after="120"/>
        <w:ind w:firstLine="709"/>
      </w:pPr>
      <w:r>
        <w:rPr>
          <w:sz w:val="24"/>
        </w:rPr>
        <w:t xml:space="preserve">(в ред. Федерального закона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второй - третий утратили силу. - Федеральный закон от 20.04.2014 N 81-ФЗ.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также применяются к налогоплательщику-кредитору по долговому обязательству.</w:t>
      </w:r>
    </w:p>
    <w:p>
      <w:pPr>
        <w:spacing w:after="120"/>
        <w:ind w:firstLine="709"/>
      </w:pPr>
      <w:r>
        <w:rPr>
          <w:sz w:val="24"/>
        </w:rPr>
        <w:t xml:space="preserve">(абзац введен Федеральным законом от 29.05.2002 N 57-ФЗ)</w:t>
      </w:r>
    </w:p>
    <w:p>
      <w:pPr>
        <w:spacing w:after="120"/>
        <w:ind w:firstLine="709"/>
      </w:pPr>
      <w:r>
        <w:rPr>
          <w:sz w:val="24"/>
        </w:rPr>
        <w:t xml:space="preserve">3. При дальнейшей реализации права требования долга налогоплательщиком, купившим это право требования или получившим такое право требования в результате ликвидации иностранной организации (прекращения (ликвидации) иностранной структуры без образования юридического лица) при выполнении условий, установленных пунктами 2.2 и 2.3 статьи 277 настоящего Кодекса, указанная операция рассматривается как реализация финансовых услуг. Доход (выручка) от реализации финансовых услуг определяется как стоимость имущества, причитающегося этому налогоплательщику при последующей уступке права требования или прекращении соответствующего обязательства. При этом при определении налоговой базы налогоплательщик вправе уменьшить доход, полученный от реализации права требования, на сумму расходов по приобретению указанного права требования долга, если иное не предусмотрено пунктом 10 статьи 309.1 или пунктом 2.2 статьи 277 настоящего Кодекса.</w:t>
      </w:r>
    </w:p>
    <w:p>
      <w:pPr>
        <w:spacing w:after="120"/>
        <w:ind w:firstLine="709"/>
      </w:pPr>
      <w:r>
        <w:rPr>
          <w:sz w:val="24"/>
        </w:rPr>
        <w:t xml:space="preserve">(в ред. Федеральных законов от 29.05.2002 N 57-ФЗ , от 15.02.2016 N 32-ФЗ )</w:t>
      </w:r>
    </w:p>
    <w:p>
      <w:pPr>
        <w:spacing w:after="120"/>
        <w:ind w:firstLine="709"/>
      </w:pPr>
      <w:r>
        <w:rPr>
          <w:sz w:val="24"/>
        </w:rPr>
        <w:t xml:space="preserve">(см. текст в предыдущей редакции )</w:t>
      </w:r>
    </w:p>
    <w:p>
      <w:pPr>
        <w:spacing w:after="120"/>
        <w:ind w:firstLine="709"/>
      </w:pPr>
      <w:r>
        <w:rPr>
          <w:sz w:val="24"/>
        </w:rPr>
        <w:t xml:space="preserve">4. При уступке права требования долга до наступления предусмотренного договором о реализации товаров (работ, услуг) срока платежа в случае, если сделка по уступке признается контролируемой согласно разделу V.1 настоящего Кодекса, фактическая цена такой сделки признается рыночной с учетом положений пункта 1 настоящей статьи.</w:t>
      </w:r>
    </w:p>
    <w:p>
      <w:pPr>
        <w:spacing w:after="120"/>
        <w:ind w:firstLine="709"/>
      </w:pPr>
      <w:r>
        <w:rPr>
          <w:sz w:val="24"/>
        </w:rPr>
        <w:t xml:space="preserve">Если предусмотренная пунктом 2 или 3 настоящей статьи сделка по уступке права требования долга признается контролируемой согласно разделу V.1 настоящего Кодекса, цена такой сделки определяется с учетом положений раздела V.1 настоящего Кодекса.</w:t>
      </w:r>
    </w:p>
    <w:p>
      <w:pPr>
        <w:spacing w:after="120"/>
        <w:ind w:firstLine="709"/>
      </w:pPr>
      <w:r>
        <w:rPr>
          <w:sz w:val="24"/>
        </w:rPr>
        <w:t xml:space="preserve">(п. 4 введен Федеральным законом от 28.12.2013 N 420-ФЗ)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279</dc:title>
  <dc:creator>АРБИТРАЖ! · arbi.ru</dc:creator>
  <cp:lastModifiedBy>АРБИТРАЖ!</cp:lastModifiedBy>
  <dcterms:created xsi:type="dcterms:W3CDTF">2026-10-22T20:22:12.318Z</dcterms:created>
</cp:coreProperties>
</file>