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1. Порядок отнесения объектов гражданских прав к ценным бумагам, а также порядок отнесения ценных бумаг к эмиссионным ценным бумагам устанавливается гражданским законодательством Российской Федерации и применимым законодательством иностранных государств.</w:t>
      </w:r>
    </w:p>
    <w:p>
      <w:pPr>
        <w:spacing w:after="120"/>
        <w:ind w:firstLine="709"/>
      </w:pPr>
      <w:r>
        <w:rPr>
          <w:sz w:val="24"/>
        </w:rPr>
        <w:t xml:space="preserve">При этом ценные бумаги, выпущенные в соответствии с применимым законодательством иностранных государств, относятся к эмиссионным ценным бумагам в случае их соответствия критериям, установленным Федеральным законом "О рынке ценных бумаг".</w:t>
      </w:r>
    </w:p>
    <w:p>
      <w:pPr>
        <w:spacing w:after="120"/>
        <w:ind w:firstLine="709"/>
      </w:pPr>
      <w:r>
        <w:rPr>
          <w:sz w:val="24"/>
        </w:rPr>
        <w:t xml:space="preserve">В случае, если операция с ценными бумагами соответствует критериям операции с производными финансовыми инструментами, налогоплательщик самостоятельно относит указанную операцию в целях налогообложения к операции с ценными бумагами либо к операции с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под общей налоговой базой понимается налоговая база по прибыли, облагаемой по ставке, указанной в пункте 1 статьи 284 настоящего Кодекса, и по такой налоговой базе в соответствии с настоящей главой не предусмотрен отличный от общего порядок учета прибыли и убытка с учетом особенностей, предусмотренных пунктом 10 статьи 309.1 или пунктом 2.2 статьи 277 настоящего Кодекса.</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под применимым законодательством понимается законодательство государства, на территории которого осуществляется обращение ценных бумаг (заключение налогоплательщиком гражданско-правовых сделок, влекущих переход права собственности на ценные бумаги). В случаях невозможности однозначно определить, на территории какого государства заключались сделки с ценными бумагами вне организованного рынка ценных бумаг, включая сделки, заключаемые посредством электронных торговых систем, налогоплательщик вправе самостоятельно установить в своей учетной политике порядок определения применимого законодательства. При этом, если ценные бумаги признаются обращающимися на российском организованном рынке ценных бумаг, под применимым законодательством понимается законодательство Российской Федерации.</w:t>
      </w:r>
    </w:p>
    <w:p>
      <w:pPr>
        <w:spacing w:after="120"/>
        <w:ind w:firstLine="709"/>
      </w:pPr>
      <w:r>
        <w:rPr>
          <w:sz w:val="24"/>
        </w:rPr>
        <w:t xml:space="preserve">2. 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определяются исходя из цены реализации или иного выбытия ценной бумаги, а также суммы накопленного процентного (купонного) дохода, уплаченной налогоплательщику покупателем, и суммы процентного (купонного) дохода, выплаченной налогоплательщику эмитентом (векселедателем). При этом в доход налогоплательщика от реализации или иного выбытия ценных бумаг не включаются суммы процентного (купонного) дохода, ранее учтенные при налогообложении.</w:t>
      </w:r>
    </w:p>
    <w:p>
      <w:pPr>
        <w:spacing w:after="120"/>
        <w:ind w:firstLine="709"/>
      </w:pPr>
      <w:r>
        <w:rPr>
          <w:sz w:val="24"/>
        </w:rPr>
        <w:t xml:space="preserve">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цена реализации которых выражена в иностранной валюте, определяются по официальному курсу Центрального банка Российской Федерации, действовавшему на дату перехода права собственности либо на дату фактического погашения или фактического получения налогоплательщиком сумм частичного погашения номинальной стоимости.</w:t>
      </w:r>
    </w:p>
    <w:p>
      <w:pPr>
        <w:spacing w:after="120"/>
        <w:ind w:firstLine="709"/>
      </w:pPr>
      <w:r>
        <w:rPr>
          <w:sz w:val="24"/>
        </w:rPr>
        <w:t xml:space="preserve">3. Расходы налогоплательщика при реализации или ином выбытии (в том числе при погашении или частичном погашении номинальной стоимости) ценных бумаг, в том числе инвестиционных паев паевого инвестиционного фонда, определяются исходя из цены приобретения ценной бумаги (включая расходы на ее приобретение) и величины внесенного им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организации, ценные бумаги которой реализуются (выбывают), если иное не предусмотрено пунктом 10 статьи 309.1 или пунктом 2.2 статьи 277 настоящего Кодекса, затрат на ее реализацию, размера скидок с расчетной стоимости инвестиционных паев, суммы накопленного процентного (купонного) дохода, уплаченной налогоплательщиком продавцу ценной бумаги. При этом в расход не включаются суммы накопленного процентного (купонного) дохода, ранее учтенные при налогообложении. Величина вклада в имущество организации, уменьшающая доходы от реализации акций, рассчитывается пропорционально цене приобретения реализуемых ценных бумаг в общей стоимости акций, принадлежащих налогоплательщику.</w:t>
      </w:r>
    </w:p>
    <w:p>
      <w:pPr>
        <w:spacing w:after="120"/>
        <w:ind w:firstLine="709"/>
      </w:pPr>
      <w:r>
        <w:rPr>
          <w:sz w:val="24"/>
        </w:rPr>
        <w:t xml:space="preserve">(в ред. Федеральных законов от 15.02.2016 N 32-ФЗ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расходов при реализации или ином выбытии (в том числе при погашении или частичном погашении номинальной стоимости) ценных бумаг, цена приобретения которых выражена в иностранной валюте (включая расходы на их приобретение), такая цена определяется по официальному курсу Центрального банка Российской Федерации, действовавшему на дату принятия указанной ценной бумаги к учету с учетом положений пункта 10 статьи 272 настоящего Кодекса.</w:t>
      </w:r>
    </w:p>
    <w:p>
      <w:pPr>
        <w:spacing w:after="120"/>
        <w:ind w:firstLine="709"/>
      </w:pPr>
      <w:r>
        <w:rPr>
          <w:sz w:val="24"/>
        </w:rPr>
        <w:t xml:space="preserve">Расходы по реализации ценных бумаг определяются в соответствии с настоящим пунктом также в следующих случаях:</w:t>
      </w:r>
    </w:p>
    <w:p>
      <w:pPr>
        <w:spacing w:after="120"/>
        <w:ind w:firstLine="709"/>
      </w:pPr>
      <w:r>
        <w:rPr>
          <w:sz w:val="24"/>
        </w:rPr>
        <w:t xml:space="preserve">ликвидация организации - эмитента ценных бумаг;</w:t>
      </w:r>
    </w:p>
    <w:p>
      <w:pPr>
        <w:spacing w:after="120"/>
        <w:ind w:firstLine="709"/>
      </w:pPr>
      <w:r>
        <w:rPr>
          <w:sz w:val="24"/>
        </w:rPr>
        <w:t xml:space="preserve">ликвидация организации - заемщика, в целях финансирования займа (кредита) которого выпускались облигации;</w:t>
      </w:r>
    </w:p>
    <w:p>
      <w:pPr>
        <w:spacing w:after="120"/>
        <w:ind w:firstLine="709"/>
      </w:pPr>
      <w:r>
        <w:rPr>
          <w:sz w:val="24"/>
        </w:rPr>
        <w:t xml:space="preserve">отсутствие по иным основаниям, предусмотренным условиями выпуска ценных бумаг, обязательств организации - эмитента ценных бумаг производить платежи по таким ценным бумагам при их погашении.</w:t>
      </w:r>
    </w:p>
    <w:p>
      <w:pPr>
        <w:spacing w:after="120"/>
        <w:ind w:firstLine="709"/>
      </w:pPr>
      <w:r>
        <w:rPr>
          <w:sz w:val="24"/>
        </w:rPr>
        <w:t xml:space="preserve">4. В целях налогообложения текущая переоценка ценных бумаг, номинированных (выраженных) в иностранной валюте, по официальному курсу Центрального банка Российской Федерации не производится.</w:t>
      </w:r>
    </w:p>
    <w:p>
      <w:pPr>
        <w:spacing w:after="120"/>
        <w:ind w:firstLine="709"/>
      </w:pPr>
      <w:r>
        <w:rPr>
          <w:sz w:val="24"/>
        </w:rPr>
        <w:t xml:space="preserve">5. При реализации акций, полученных акционерами при реорганизации организаций, ценой приобретения таких акций признается их стоимость, определяемая в соответствии с пунктами 4 - 6 статьи 277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П. 5.1 ст. 280 (в ред. ФЗ от 29.10.2024 N 362-ФЗ) распространяется на правоотношения, возникшие с 01.01.2024.</w:t>
      </w:r>
    </w:p>
    <w:p>
      <w:pPr>
        <w:spacing w:after="120"/>
        <w:ind w:firstLine="709"/>
      </w:pPr>
      <w:r>
        <w:rPr>
          <w:sz w:val="24"/>
        </w:rPr>
        <w:t xml:space="preserve">5.1. Стоимостью замещающих облигаций либо замещающих еврооблигаций Российской Федерации, полученных налогоплательщиком - держателем облигаций иностранных организаций (еврооблигаций) и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соответственно еврооблигаций или еврооблигаций Российской Федерации, признается стоимость этих еврооблигаций или еврооблигаций Российской Федерации, сформированная в налоговом учете налогоплательщика при их приобретении.</w:t>
      </w:r>
    </w:p>
    <w:p>
      <w:pPr>
        <w:spacing w:after="120"/>
        <w:ind w:firstLine="709"/>
      </w:pPr>
      <w:r>
        <w:rPr>
          <w:sz w:val="24"/>
        </w:rPr>
        <w:t xml:space="preserve">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pPr>
        <w:spacing w:after="120"/>
        <w:ind w:firstLine="709"/>
      </w:pPr>
      <w:r>
        <w:rPr>
          <w:sz w:val="24"/>
        </w:rPr>
        <w:t xml:space="preserve">(п. 5.1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5.2 ст. 280 (в ред. ФЗ от 25.04.2026 N 104-ФЗ) распространяется на правоотношения, возникшие с 01.01.2026.</w:t>
      </w:r>
    </w:p>
    <w:p>
      <w:pPr>
        <w:spacing w:after="120"/>
        <w:ind w:firstLine="709"/>
      </w:pPr>
      <w:r>
        <w:rPr>
          <w:sz w:val="24"/>
        </w:rPr>
        <w:t xml:space="preserve">5.2. Стоимостью замещающих облигаций в рублях, полученных налогоплательщиком - держателем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в результате обмена (замещения) замещаемых облигаций в валюте одного выпуска, признается стоимость замещаемых облигаций в валюте, сформированная в налоговом учете налогоплательщика при их приобретении.</w:t>
      </w:r>
    </w:p>
    <w:p>
      <w:pPr>
        <w:spacing w:after="120"/>
        <w:ind w:firstLine="709"/>
      </w:pPr>
      <w:r>
        <w:rPr>
          <w:sz w:val="24"/>
        </w:rPr>
        <w:t xml:space="preserve">Данное положение применяется указанными в настоящем пункте налогоплательщиками - держателями замещаемых облигаций в валюте при условии обмена всех принадлежащих им на праве собственности или ином вещном праве замещаемых облигаций в валюте одного выпуска.</w:t>
      </w:r>
    </w:p>
    <w:p>
      <w:pPr>
        <w:spacing w:after="120"/>
        <w:ind w:firstLine="709"/>
      </w:pPr>
      <w:r>
        <w:rPr>
          <w:sz w:val="24"/>
        </w:rPr>
        <w:t xml:space="preserve">(п. 5.2 введен Федеральным законом от 25.04.2026 N 104-ФЗ)</w:t>
      </w:r>
    </w:p>
    <w:p>
      <w:pPr>
        <w:spacing w:after="120"/>
        <w:ind w:firstLine="709"/>
      </w:pPr>
      <w:r>
        <w:rPr>
          <w:sz w:val="24"/>
        </w:rPr>
        <w:t xml:space="preserve">6. Суммы, уплаченные налогоплательщиком при приобретении ценных бумаг, в отношении которых условиями выпуска предусмотрено частичное погашение номинальной стоимости ценной бумаги в период ее обращения, признаются расходами на дату фактического получения налогоплательщиком частичного погашения номинальной стоимости пропорционально доле выплат, фактически полученных при частичном погашении номинальной стоимости, в общей сумме выплат номинальной стоимости, подлежащих погашению по условиям выпуска ценной бумаги после даты приобретения налогоплательщиком ценной бумаги.</w:t>
      </w:r>
    </w:p>
    <w:p>
      <w:pPr>
        <w:spacing w:after="120"/>
        <w:ind w:firstLine="709"/>
      </w:pPr>
      <w:r>
        <w:rPr>
          <w:sz w:val="24"/>
        </w:rPr>
        <w:t xml:space="preserve">7. В целях настоящей главы ценные бумаги также признаются реализованными (приобретенными) в следующих случаях:</w:t>
      </w:r>
    </w:p>
    <w:p>
      <w:pPr>
        <w:spacing w:after="120"/>
        <w:ind w:firstLine="709"/>
      </w:pPr>
      <w:r>
        <w:rPr>
          <w:sz w:val="24"/>
        </w:rPr>
        <w:t xml:space="preserve">1) прекращение обязательств налогоплательщика передать (принять) соответствующие ценные бумаги зачетом встречных однородных требований , в том числе в случае прекращения таких обязательств при осуществлении клиринга в соответствии с законодательством Российской Федерации;</w:t>
      </w:r>
    </w:p>
    <w:p>
      <w:pPr>
        <w:spacing w:after="120"/>
        <w:ind w:firstLine="709"/>
      </w:pPr>
      <w:r>
        <w:rPr>
          <w:sz w:val="24"/>
        </w:rPr>
        <w:t xml:space="preserve">2) зачет встречных требований, вытекающих из договоров, заключенных на условиях генерального соглашения (единого договора), которое соответствует примерным условиям договоров, предусмотренным Федеральным законом "О рынке ценных бумаг", если такой зачет произведен в целях определения суммы нетто-обязательства;</w:t>
      </w:r>
    </w:p>
    <w:p>
      <w:pPr>
        <w:spacing w:after="120"/>
        <w:ind w:firstLine="709"/>
      </w:pPr>
      <w:r>
        <w:rPr>
          <w:sz w:val="24"/>
        </w:rPr>
        <w:t xml:space="preserve">3) зачет встречных требований, вытекающих из договоров, заключенных на условиях правил организованных торгов или правил клиринга, если такой зачет произведен в целях определения суммы нетто-обязательства.</w:t>
      </w:r>
    </w:p>
    <w:p>
      <w:pPr>
        <w:spacing w:after="120"/>
        <w:ind w:firstLine="709"/>
      </w:pPr>
      <w:r>
        <w:rPr>
          <w:sz w:val="24"/>
        </w:rPr>
        <w:t xml:space="preserve">8. Расходы налогоплательщика при реализации или ином выбытии представляемых ценных бумаг, полученных при погашении депозитарных 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w:t>
      </w:r>
    </w:p>
    <w:p>
      <w:pPr>
        <w:spacing w:after="120"/>
        <w:ind w:firstLine="709"/>
      </w:pPr>
      <w:r>
        <w:rPr>
          <w:sz w:val="24"/>
        </w:rPr>
        <w:t xml:space="preserve">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w:t>
      </w:r>
    </w:p>
    <w:p>
      <w:pPr>
        <w:spacing w:after="120"/>
        <w:ind w:firstLine="709"/>
      </w:pPr>
      <w:r>
        <w:rPr>
          <w:sz w:val="24"/>
        </w:rPr>
        <w:t xml:space="preserve">В целях настоящей главы не признается реализацией или иным выбытием ценных бумаг:</w:t>
      </w:r>
    </w:p>
    <w:p>
      <w:pPr>
        <w:spacing w:after="120"/>
        <w:ind w:firstLine="709"/>
      </w:pPr>
      <w:r>
        <w:rPr>
          <w:sz w:val="24"/>
        </w:rPr>
        <w:t xml:space="preserve">погашение депозитарных расписок при получении представляемых ценных бумаг;</w:t>
      </w:r>
    </w:p>
    <w:p>
      <w:pPr>
        <w:spacing w:after="120"/>
        <w:ind w:firstLine="709"/>
      </w:pPr>
      <w:r>
        <w:rPr>
          <w:sz w:val="24"/>
        </w:rPr>
        <w:t xml:space="preserve">передача представляемых ценных бумаг при размещении депозитарных расписок, удостоверяющих права на представляемые ценные бумаги.</w:t>
      </w:r>
    </w:p>
    <w:p>
      <w:pPr>
        <w:spacing w:after="120"/>
        <w:ind w:firstLine="709"/>
      </w:pPr>
      <w:r>
        <w:rPr>
          <w:sz w:val="24"/>
        </w:rPr>
        <w:t xml:space="preserve">8.1. В целях настоящей главы не признается реализацией или иным выбытием ценных бумаг:</w:t>
      </w:r>
    </w:p>
    <w:p>
      <w:pPr>
        <w:spacing w:after="120"/>
        <w:ind w:firstLine="709"/>
      </w:pPr>
      <w:r>
        <w:rPr>
          <w:sz w:val="24"/>
        </w:rPr>
        <w:t xml:space="preserve">погашение клиринговых сертификатов участия при получении от клиринговой организации соответствующих таким сертификатам ценных бумаг и иного имущества, внесенных в имущественный пул клиринговой организации;</w:t>
      </w:r>
    </w:p>
    <w:p>
      <w:pPr>
        <w:spacing w:after="120"/>
        <w:ind w:firstLine="709"/>
      </w:pPr>
      <w:r>
        <w:rPr>
          <w:sz w:val="24"/>
        </w:rPr>
        <w:t xml:space="preserve">передача клиринговой организации ценных бумаг в счет выдаваемых такой клиринговой организацией клиринговых сертификатов участия;</w:t>
      </w:r>
    </w:p>
    <w:p>
      <w:pPr>
        <w:spacing w:after="120"/>
        <w:ind w:firstLine="709"/>
      </w:pPr>
      <w:r>
        <w:rPr>
          <w:sz w:val="24"/>
        </w:rPr>
        <w:t xml:space="preserve">признание акций иностранной организации акциями международной компании, зарегистрированной в соответствии с Федеральным законом от 3 августа 2018 года N 290-ФЗ "О международных компаниях и международных фондах". При этом расходами на приобретение акций международной компании и (или) их стоимостью в целях настоящей главы признаются соответственно расходы на приобретение акций иностранной организации, в порядке редомициляции которой создана такая международной компания, и (или) их стоимость.</w:t>
      </w:r>
    </w:p>
    <w:p>
      <w:pPr>
        <w:spacing w:after="120"/>
        <w:ind w:firstLine="709"/>
      </w:pPr>
      <w:r>
        <w:rPr>
          <w:sz w:val="24"/>
        </w:rPr>
        <w:t xml:space="preserve">(абзац введен Федеральным законом от 25.12.2018 N 490-ФЗ;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(п. 8.1 введен Федеральным законом от 28.11.2015 N 326-ФЗ)</w:t>
      </w:r>
    </w:p>
    <w:p>
      <w:pPr>
        <w:spacing w:after="120"/>
        <w:ind w:firstLine="709"/>
      </w:pPr>
      <w:r>
        <w:rPr>
          <w:sz w:val="24"/>
        </w:rPr>
        <w:t xml:space="preserve">9. В целях настоящей главы ценные бумаги признаются обращающимися на организованном рынке ценных бумаг (обращающимися ценными бумагами) при одновременном соблюдении следующих условий:</w:t>
      </w:r>
    </w:p>
    <w:p>
      <w:pPr>
        <w:spacing w:after="120"/>
        <w:ind w:firstLine="709"/>
      </w:pPr>
      <w:r>
        <w:rPr>
          <w:sz w:val="24"/>
        </w:rPr>
        <w:t xml:space="preserve">1) если они допущены к обращению хотя бы одним организатором торговли, имеющим на это право в соответствии с применимым законодательством ;</w:t>
      </w:r>
    </w:p>
    <w:p>
      <w:pPr>
        <w:spacing w:after="120"/>
        <w:ind w:firstLine="709"/>
      </w:pPr>
      <w:r>
        <w:rPr>
          <w:sz w:val="24"/>
        </w:rPr>
        <w:t xml:space="preserve">2) если информация об их ценах (котировках) публикуется в средствах массовой информации (в том числе электронных) либо может быть представлена организатором торговли или иным уполномоченным лицом любому заинтересованному лицу в течение трех лет после даты совершения операций с ценными бумагами;</w:t>
      </w:r>
    </w:p>
    <w:p>
      <w:pPr>
        <w:spacing w:after="120"/>
        <w:ind w:firstLine="709"/>
      </w:pPr>
      <w:r>
        <w:rPr>
          <w:sz w:val="24"/>
        </w:rPr>
        <w:t xml:space="preserve">3) если по ним в течение последовательных трех месяцев, предшествующих дате совершения налогоплательщиком сделки с этими ценными бумагами, хотя бы один раз рассчитывалась рыночная котировка (за исключением случая расчета рыночной котировки при первичном размещении ценных бумаг эмитентом).</w:t>
      </w:r>
    </w:p>
    <w:p>
      <w:pPr>
        <w:spacing w:after="120"/>
        <w:ind w:firstLine="709"/>
      </w:pPr>
      <w:r>
        <w:rPr>
          <w:sz w:val="24"/>
        </w:rPr>
        <w:t xml:space="preserve">10. Рыночной котировкой ценной бумаги в целях настоящей главы признается:</w:t>
      </w:r>
    </w:p>
    <w:p>
      <w:pPr>
        <w:spacing w:after="120"/>
        <w:ind w:firstLine="709"/>
      </w:pPr>
      <w:r>
        <w:rPr>
          <w:sz w:val="24"/>
        </w:rPr>
        <w:t xml:space="preserve">для ценных бумаг, допущенных к торгам российского организатора торговли (включая биржу), - средневзвешенная цена ценной бумаги по сделкам, совершенным в течение торгового дня через такого организатора торговли;</w:t>
      </w:r>
    </w:p>
    <w:p>
      <w:pPr>
        <w:spacing w:after="120"/>
        <w:ind w:firstLine="709"/>
      </w:pPr>
      <w:r>
        <w:rPr>
          <w:sz w:val="24"/>
        </w:rPr>
        <w:t xml:space="preserve">для ценных бумаг, допущенных к торгам иностранного организатора торговли (включая биржу), - цена закрытия по ценной бумаге, рассчитываемая таким организатором торговли по сделкам, совершенным через него в течение торгового дня.</w:t>
      </w:r>
    </w:p>
    <w:p>
      <w:pPr>
        <w:spacing w:after="120"/>
        <w:ind w:firstLine="709"/>
      </w:pPr>
      <w:r>
        <w:rPr>
          <w:sz w:val="24"/>
        </w:rPr>
        <w:t xml:space="preserve">Если по одной и той же ценной бумаге сделки совершались через двух и более организаторов торговли, налогоплательщик вправе самостоятельно выбрать рыночную котировку, сложившуюся у одного из организаторов торговли.</w:t>
      </w:r>
    </w:p>
    <w:p>
      <w:pPr>
        <w:spacing w:after="120"/>
        <w:ind w:firstLine="709"/>
      </w:pPr>
      <w:r>
        <w:rPr>
          <w:sz w:val="24"/>
        </w:rPr>
        <w:t xml:space="preserve">В случае, если средневзвешенная цена организатором торговли не рассчитывается, в целях настоящей главы средневзвешенной ценой признается половина суммы максимальной и минимальной цен сделок, совершенных в течение торгового дня через этого организатора торговли.</w:t>
      </w:r>
    </w:p>
    <w:p>
      <w:pPr>
        <w:spacing w:after="120"/>
        <w:ind w:firstLine="709"/>
      </w:pPr>
      <w:r>
        <w:rPr>
          <w:sz w:val="24"/>
        </w:rPr>
        <w:t xml:space="preserve">11. В случае совершения сделки с обращающимися ценными бумагами через российского или иностранного организатора торговли:</w:t>
      </w:r>
    </w:p>
    <w:p>
      <w:pPr>
        <w:spacing w:after="120"/>
        <w:ind w:firstLine="709"/>
      </w:pPr>
      <w:r>
        <w:rPr>
          <w:sz w:val="24"/>
        </w:rPr>
        <w:t xml:space="preserve">1) датой совершения сделки признается дата проведения торгов, на которых была заключена соответствующая сделка с ценной бумагой;</w:t>
      </w:r>
    </w:p>
    <w:p>
      <w:pPr>
        <w:spacing w:after="120"/>
        <w:ind w:firstLine="709"/>
      </w:pPr>
      <w:r>
        <w:rPr>
          <w:sz w:val="24"/>
        </w:rPr>
        <w:t xml:space="preserve">2) для целей налогообложения признается фактическая цена реализации (приобретения) или иного выбытия ценных бумаг, если иное не предусмотрено подпунктом 3 настоящего пункта;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3) по сделкам, совершенным на основании адресных заявок, признаваемым контролируемыми в соответствии с разделом V.1 настоящего Кодекса, для целей налогообложения признается цена реализации (приобретения) или иного выбытия ценных бумаг, определяемая в порядке, предусмотренном подпунктами 2 и 3 пункта 12 настоящей статьи.</w:t>
      </w:r>
    </w:p>
    <w:p>
      <w:pPr>
        <w:spacing w:after="120"/>
        <w:ind w:firstLine="709"/>
      </w:pPr>
      <w:r>
        <w:rPr>
          <w:sz w:val="24"/>
        </w:rPr>
        <w:t xml:space="preserve">(пп. 3 введен Федеральным законом от 29.09.2019 N 325-ФЗ)</w:t>
      </w:r>
    </w:p>
    <w:p>
      <w:pPr>
        <w:spacing w:after="120"/>
        <w:ind w:firstLine="709"/>
      </w:pPr>
      <w:r>
        <w:rPr>
          <w:sz w:val="24"/>
        </w:rPr>
        <w:t xml:space="preserve">12. В случае совершения сделки с обращающимися ценными бумагами вне организованного рынка ценных бумаг (без участия российского или иностранного организатора торговли):</w:t>
      </w:r>
    </w:p>
    <w:p>
      <w:pPr>
        <w:spacing w:after="120"/>
        <w:ind w:firstLine="709"/>
      </w:pPr>
      <w:r>
        <w:rPr>
          <w:sz w:val="24"/>
        </w:rPr>
        <w:t xml:space="preserve">1) датой совершения сделки признается дата договора, определяющего все существенные условия передачи ценной бумаги;</w:t>
      </w:r>
    </w:p>
    <w:p>
      <w:pPr>
        <w:spacing w:after="120"/>
        <w:ind w:firstLine="709"/>
      </w:pPr>
      <w:r>
        <w:rPr>
          <w:sz w:val="24"/>
        </w:rPr>
        <w:t xml:space="preserve">2) если иное не установлено настоящей статьей, рыночной ценой обращающейся ценной бумаги для целей налогообложения признается фактическая цена реализации (приобретения) или иного выбытия ценной бумаги при соблюдении одного из следующих условий:</w:t>
      </w:r>
    </w:p>
    <w:p>
      <w:pPr>
        <w:spacing w:after="120"/>
        <w:ind w:firstLine="709"/>
      </w:pPr>
      <w:r>
        <w:rPr>
          <w:sz w:val="24"/>
        </w:rPr>
        <w:t xml:space="preserve">если на дату совершения сделки было зарегистрировано более одной сделки с ценной бумагой, ее рыночной ценой признается фактическая цена совершенной сделки при условии, что эта цена на дату совершения сделки находится в интервале между максимальной и минимальной ценами сделок (интервал цен) с указанной ценной бумагой, зарегистрированной организатором (организаторами) торговли на эту дату;</w:t>
      </w:r>
    </w:p>
    <w:p>
      <w:pPr>
        <w:spacing w:after="120"/>
        <w:ind w:firstLine="709"/>
      </w:pPr>
      <w:r>
        <w:rPr>
          <w:sz w:val="24"/>
        </w:rPr>
        <w:t xml:space="preserve">если на дату совершения сделки была зарегистрирована одна сделка с ценной бумагой, ее рыночной ценой признается фактическая цена совершенной сделки, если она соответствует цене одной другой сделки с указанной ценной бумагой на дату совершения сделки, в отношении которой определяется рыночная цена;</w:t>
      </w:r>
    </w:p>
    <w:p>
      <w:pPr>
        <w:spacing w:after="120"/>
        <w:ind w:firstLine="709"/>
      </w:pPr>
      <w:r>
        <w:rPr>
          <w:sz w:val="24"/>
        </w:rPr>
        <w:t xml:space="preserve">3) в целях применения подпункта 2 настоящего пункта:</w:t>
      </w:r>
    </w:p>
    <w:p>
      <w:pPr>
        <w:spacing w:after="120"/>
        <w:ind w:firstLine="709"/>
      </w:pPr>
      <w:r>
        <w:rPr>
          <w:sz w:val="24"/>
        </w:rPr>
        <w:t xml:space="preserve">максимальная и минимальная цены сделок (цена одной сделки), зарегистрированные организатором торговли, определяются по сделкам, совершенным на основании безадресных заявок;</w:t>
      </w:r>
    </w:p>
    <w:p>
      <w:pPr>
        <w:spacing w:after="120"/>
        <w:ind w:firstLine="709"/>
      </w:pPr>
      <w:r>
        <w:rPr>
          <w:sz w:val="24"/>
        </w:rPr>
        <w:t xml:space="preserve">при отсутствии информации об интервале цен (цене одной сделки) у организаторов торговли на дату совершения сделки в целях настоящего пункта принимается интервал цен (цена одной сделки) при реализации этих ценных бумаг по данным организаторов торговли на дату ближайших торгов, состоявшихся до дня совершения соответствующей сделки, если торги по этим ценным бумагам проводились у организатора торговли хотя бы один раз в течение трех последовательных месяцев, предшествующих дате совершения сделки;</w:t>
      </w:r>
    </w:p>
    <w:p>
      <w:pPr>
        <w:spacing w:after="120"/>
        <w:ind w:firstLine="709"/>
      </w:pPr>
      <w:r>
        <w:rPr>
          <w:sz w:val="24"/>
        </w:rPr>
        <w:t xml:space="preserve">если по одной и той же ценной бумаге сделки на указанную дату совершались через двух и более организаторов торговли, налогоплательщик вправе самостоятельно выбрать организатора торговли, значения интервала цен (цена одной сделки) которого будут использованы для определения ее цены для целей налогообложения, если иное не установлено настоящим пунктом. При этом в случае, если у некоторых из организаторов торговли, указанных в настоящем абзаце, было зарегистрировано более одной сделки с этой ценной бумагой, а у других организаторов торговли была зарегистрирована только одна сделка с этой ценной бумагой, налогоплательщик вправе самостоятельно выбрать организатора торговли, значения интервала цен которого будут использованы для определения ее цены для целей налогообложения, из числа тех организаторов торговли, у кого было зарегистрировано более одной сделки с этой ценной бумагой.</w:t>
      </w:r>
    </w:p>
    <w:p>
      <w:pPr>
        <w:spacing w:after="120"/>
        <w:ind w:firstLine="709"/>
      </w:pPr>
      <w:r>
        <w:rPr>
          <w:sz w:val="24"/>
        </w:rPr>
        <w:t xml:space="preserve">13. В случае приобретения обращающихся эмиссионных ценных бумаг при их размещении, а также при первом после размещения предложении этих ценных бумаг неограниченному кругу лиц, в том числе у брокера, оказывающего услуги по такому предложению этих ценных бумаг, фактическая цена приобретения таких ценных бумаг признается рыночной ценой и принимается для целей налогообложения.</w:t>
      </w:r>
    </w:p>
    <w:p>
      <w:pPr>
        <w:spacing w:after="120"/>
        <w:ind w:firstLine="709"/>
      </w:pPr>
      <w:r>
        <w:rPr>
          <w:sz w:val="24"/>
        </w:rPr>
        <w:t xml:space="preserve">14. В случае реализации обращающихся ценных бумаг по цене ниже минимальной цены сделок на организованном рынке ценных бумаг при определении финансового результата принимается минимальная цена сделки на организованном рынке ценных бумаг.</w:t>
      </w:r>
    </w:p>
    <w:p>
      <w:pPr>
        <w:spacing w:after="120"/>
        <w:ind w:firstLine="709"/>
      </w:pPr>
      <w:r>
        <w:rPr>
          <w:sz w:val="24"/>
        </w:rPr>
        <w:t xml:space="preserve">В случае приобретения обращающихся ценных бумаг по цене выше максимальной цены сделок на организованном рынке ценных бумаг при определении финансового результата принимается максимальная цена сделки на организованном рынке ценных бумаг.</w:t>
      </w:r>
    </w:p>
    <w:p>
      <w:pPr>
        <w:spacing w:after="120"/>
        <w:ind w:firstLine="709"/>
      </w:pPr>
      <w:r>
        <w:rPr>
          <w:sz w:val="24"/>
        </w:rPr>
        <w:t xml:space="preserve">В целях настоящего пункта при совершении единственной сделки на организованном рынке ценных бумаг цена такой сделки признается максимальной (минимальной) ценой.</w:t>
      </w:r>
    </w:p>
    <w:p>
      <w:pPr>
        <w:spacing w:after="120"/>
        <w:ind w:firstLine="709"/>
      </w:pPr>
      <w:r>
        <w:rPr>
          <w:sz w:val="24"/>
        </w:rPr>
        <w:t xml:space="preserve">15. По операциям с обращающимися инвестиционными паями открытого паевого инвестиционного фонда,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фактическая цена сделки признается рыночной и принимается для целей налогообложения,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pPr>
        <w:spacing w:after="120"/>
        <w:ind w:firstLine="709"/>
      </w:pPr>
      <w:r>
        <w:rPr>
          <w:sz w:val="24"/>
        </w:rPr>
        <w:t xml:space="preserve">16. По необращающимся ценным бумагам фактическая цена сделки признается рыночной ценой и принимается для целей налогообложения, если эта цена находится в интервале между максимальной и минимальной ценами, определенными исходя из расчетной цены ценной бумаги и предельного отклонения цен, если иное не установлено настоящим пунктом.</w:t>
      </w:r>
    </w:p>
    <w:p>
      <w:pPr>
        <w:spacing w:after="120"/>
        <w:ind w:firstLine="709"/>
      </w:pPr>
      <w:r>
        <w:rPr>
          <w:sz w:val="24"/>
        </w:rPr>
        <w:t xml:space="preserve">В целях настоящей статьи предельное отклонение цен необращающихся ценных бумаг устанавливается в размере 20 процентов в сторону повышения или понижения от расчетной цены ценной бумаги.</w:t>
      </w:r>
    </w:p>
    <w:p>
      <w:pPr>
        <w:spacing w:after="120"/>
        <w:ind w:firstLine="709"/>
      </w:pPr>
      <w:r>
        <w:rPr>
          <w:sz w:val="24"/>
        </w:rPr>
        <w:t xml:space="preserve">В случае реализации необращающихся ценных бумаг по цене ниже минимальной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минимальная цена, определенная исходя из расчетной цены ценной бумаги и предельного отклонения цен.</w:t>
      </w:r>
    </w:p>
    <w:p>
      <w:pPr>
        <w:spacing w:after="120"/>
        <w:ind w:firstLine="709"/>
      </w:pPr>
      <w:r>
        <w:rPr>
          <w:sz w:val="24"/>
        </w:rPr>
        <w:t xml:space="preserve">В случае приобретения необращающихся ценных бумаг по цене выше максимальной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максимальная цена, определенная исходя из расчетной цены ценной бумаги и предельного отклонения цен.</w:t>
      </w:r>
    </w:p>
    <w:p>
      <w:pPr>
        <w:spacing w:after="120"/>
        <w:ind w:firstLine="709"/>
      </w:pPr>
      <w:r>
        <w:rPr>
          <w:sz w:val="24"/>
        </w:rPr>
        <w:t xml:space="preserve">Порядок определения расчетной цены необращающихся ценных бумаг устанавливается в целях настоящей главы Центральным банком Российской Федерации по согласованию с Министерством финансов Российской Федерации.</w:t>
      </w:r>
    </w:p>
    <w:p>
      <w:pPr>
        <w:spacing w:after="120"/>
        <w:ind w:firstLine="709"/>
      </w:pPr>
      <w:r>
        <w:rPr>
          <w:sz w:val="24"/>
        </w:rPr>
        <w:t xml:space="preserve">17. По операциям с необращающимися инвестиционными паями открытых паевых инвестиционных фондов,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pPr>
        <w:spacing w:after="120"/>
        <w:ind w:firstLine="709"/>
      </w:pPr>
      <w:r>
        <w:rPr>
          <w:sz w:val="24"/>
        </w:rPr>
        <w:t xml:space="preserve">По операциям с необращающимися инвестиционными паями закрытых и интервальных паевых инвестиционных фондов, в том числе в случае их приобретения у управляющей компании, осуществляющей доверительное управление имуществом, составляющим соответствующий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pPr>
        <w:spacing w:after="120"/>
        <w:ind w:firstLine="709"/>
      </w:pPr>
      <w:r>
        <w:rPr>
          <w:sz w:val="24"/>
        </w:rPr>
        <w:t xml:space="preserve">Если в соответствии с законодательством Российской Федерации об инвестиционных фондах выдача, погашение или обмен инвестиционных паев паевых инвестиционных фондов, ограниченных в обороте, осуществляется не по расчетной стоимости инвестиционного пая, для целей налогообложения принимается фактическая цена сделки, если она равна сумме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pPr>
        <w:spacing w:after="120"/>
        <w:ind w:firstLine="709"/>
      </w:pPr>
      <w:r>
        <w:rPr>
          <w:sz w:val="24"/>
        </w:rPr>
        <w:t xml:space="preserve">18. Расчетная цена необращающихся ценных бумаг для целей налогообложения определяется на дату договора, устанавливающего все существенные условия передачи ценной бумаги.</w:t>
      </w:r>
    </w:p>
    <w:p>
      <w:pPr>
        <w:spacing w:after="120"/>
        <w:ind w:firstLine="709"/>
      </w:pPr>
      <w:r>
        <w:rPr>
          <w:sz w:val="24"/>
        </w:rPr>
        <w:t xml:space="preserve">Расчетная цена необращающихся инвестиционных паев для целей налогообложения определяется на предшествующую дату, на которую определяется расчетная стоимость инвестиционного пая, ближайшую к дате совершения сделки.</w:t>
      </w:r>
    </w:p>
    <w:p>
      <w:pPr>
        <w:spacing w:after="120"/>
        <w:ind w:firstLine="709"/>
      </w:pPr>
      <w:r>
        <w:rPr>
          <w:sz w:val="24"/>
        </w:rPr>
        <w:t xml:space="preserve">19. Налогоплательщик вправе принять для целей налогообложения расчетную цену сделки, определяемую с применением методов, установленных главой 14.3 настоящего Кодекса, при определении финансового результата по сделкам (в том числе не признаваемым контролируемыми) с обращающимися ценными бумагами и не применять правила определения цены ценной бумаги для целей налогообложения, установленные настоящей статьей, при соблюдении хотя бы одного из следующих условий:</w:t>
      </w:r>
    </w:p>
    <w:p>
      <w:pPr>
        <w:spacing w:after="120"/>
        <w:ind w:firstLine="709"/>
      </w:pPr>
      <w:r>
        <w:rPr>
          <w:sz w:val="24"/>
        </w:rPr>
        <w:t xml:space="preserve">1) покупатель ценных бумаг (совместно с аффилированными лицами) становится владельцем более 5 процентов соответствующего выпуска ценных бумаг;</w:t>
      </w:r>
    </w:p>
    <w:p>
      <w:pPr>
        <w:spacing w:after="120"/>
        <w:ind w:firstLine="709"/>
      </w:pPr>
      <w:r>
        <w:rPr>
          <w:sz w:val="24"/>
        </w:rPr>
        <w:t xml:space="preserve">2) количество ценных бумаг превышает 1 процент соответствующего выпуска ценных бумаг;</w:t>
      </w:r>
    </w:p>
    <w:p>
      <w:pPr>
        <w:spacing w:after="120"/>
        <w:ind w:firstLine="709"/>
      </w:pPr>
      <w:r>
        <w:rPr>
          <w:sz w:val="24"/>
        </w:rPr>
        <w:t xml:space="preserve">3) цена ценных бумаг установлена по решению органов государственной власти или органов местного самоуправления;</w:t>
      </w:r>
    </w:p>
    <w:p>
      <w:pPr>
        <w:spacing w:after="120"/>
        <w:ind w:firstLine="709"/>
      </w:pPr>
      <w:r>
        <w:rPr>
          <w:sz w:val="24"/>
        </w:rPr>
        <w:t xml:space="preserve">4) покупатель (продавец) ценных бумаг является эмитентом этих ценных бумаг, в том числе по оферте.</w:t>
      </w:r>
    </w:p>
    <w:p>
      <w:pPr>
        <w:spacing w:after="120"/>
        <w:ind w:firstLine="709"/>
      </w:pPr>
      <w:r>
        <w:rPr>
          <w:sz w:val="24"/>
        </w:rPr>
        <w:t xml:space="preserve">20. Налогоплательщик-акционер, реализующий акции, полученные им при увеличении уставного капитала акционерного общества, определяет доход как разницу между ценой реализации и первоначально оплаченной стоимостью акции, скорректированной с учетом изменения количества акций в результате увеличения уставного капитала.</w:t>
      </w:r>
    </w:p>
    <w:p>
      <w:pPr>
        <w:spacing w:after="120"/>
        <w:ind w:firstLine="709"/>
      </w:pPr>
      <w:r>
        <w:rPr>
          <w:sz w:val="24"/>
        </w:rPr>
        <w:t xml:space="preserve">21. Доходы (расходы) по операциям с обращающимися ценными бумагами учитываются в общеустановленном порядке в общей налоговой базе.</w:t>
      </w:r>
    </w:p>
    <w:p>
      <w:pPr>
        <w:spacing w:after="120"/>
        <w:ind w:firstLine="709"/>
      </w:pPr>
      <w:r>
        <w:rPr>
          <w:sz w:val="24"/>
        </w:rPr>
        <w:t xml:space="preserve">Если иное не установлено настоящей статьей или статьей 304 настоящего Кодекса, доходы, полученные от операций с обращающимися ценными бумагами за отчетный (налоговый) период, не могут быть уменьшены на расходы либо убытки от операций с необращающимися ценными бумагами, а также на расходы либо убытки от операций с необращающимися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(расходы) по операциям с инвестиционными паями дополнительного фонда,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и инвестиционными паями паевого инвестиционного фонда, тип которого был изменен на закрытый паевой инвестиционный фонд в соответствии с Федеральным законом от 14 июля 2022 года N 319-ФЗ "О внесении изменений в отдельные законодательные акты Российской Федерации" и инвестиционные паи которого на дату такого изменения принадлежали налогоплательщику на праве собственности или ином вещном праве и в целях настоящей главы относились к ценным бумагам, обращающимся на организованном рынке ценных бумаг, учитываются таким налогоплательщиком в установленном порядке в общей налоговой базе.</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22. Налоговая база по операциям с необращающимися ценными бумагами и необращающимися производными финансовыми инструментами определяется совокупно в порядке, установленном статьей 304 настоящего Кодекса, и отдельно от общей налоговой базы, если иное не предусмотрено настоящей статьей и статьей 304 настоящего Кодекса. Порядок налогообложения, предусмотренный настоящей главой в отношении доходов (расходов) по операциям с акциями непубличного акционерного общества, включая особенности определения доходов и расходов налогоплательщика-эмитента и доходов (расходов) налогоплательщика, приобретающего такие акции, применяется также к доходам (расходам) по операциям с цифровыми финансовыми активами, удостоверяющими права участия в капитале непубличного акционерного общества.</w:t>
      </w:r>
    </w:p>
    <w:p>
      <w:pPr>
        <w:spacing w:after="120"/>
        <w:ind w:firstLine="709"/>
      </w:pPr>
      <w:r>
        <w:rPr>
          <w:sz w:val="24"/>
        </w:rPr>
        <w:t xml:space="preserve">(в ред. Федеральных законов от 03.07.2016 N 242-ФЗ , от 14.07.2022 N 324-ФЗ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убытки от операций с необращающимися ценными бумагами и необращающимися производными финансовыми инструментами, полученные в предыдущем налоговом периоде (предыдущих налоговых периодах), могут быть отнесены на уменьшение налоговой базы от операций с такими ценными бумагами и производными финансовыми инструментами, определенной в отчетном (налоговом) периоде, с учетом ограничения, установленного пунктом 2.1 статьи 283 настоящего Кодекса.</w:t>
      </w:r>
    </w:p>
    <w:p>
      <w:pPr>
        <w:spacing w:after="120"/>
        <w:ind w:firstLine="709"/>
      </w:pPr>
      <w:r>
        <w:rPr>
          <w:sz w:val="24"/>
        </w:rPr>
        <w:t xml:space="preserve">(абзац введен Федеральным законом от 30.11.2016 N 401-ФЗ)</w:t>
      </w:r>
    </w:p>
    <w:p>
      <w:pPr>
        <w:spacing w:after="120"/>
        <w:ind w:firstLine="709"/>
      </w:pPr>
      <w:r>
        <w:rPr>
          <w:sz w:val="24"/>
        </w:rPr>
        <w:t xml:space="preserve">23. Если иное не установлено настоящей главой, при реализации или ином выбытии ценных бумаг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выбывших ценных бумаг:</w:t>
      </w:r>
    </w:p>
    <w:p>
      <w:pPr>
        <w:spacing w:after="120"/>
        <w:ind w:firstLine="709"/>
      </w:pPr>
      <w:r>
        <w:rPr>
          <w:sz w:val="24"/>
        </w:rPr>
        <w:t xml:space="preserve">1) по стоимости первых по времени приобретений (ФИФО);</w:t>
      </w:r>
    </w:p>
    <w:p>
      <w:pPr>
        <w:spacing w:after="120"/>
        <w:ind w:firstLine="709"/>
      </w:pPr>
      <w:r>
        <w:rPr>
          <w:sz w:val="24"/>
        </w:rPr>
        <w:t xml:space="preserve">2) по стоимости единицы.</w:t>
      </w:r>
    </w:p>
    <w:p>
      <w:pPr>
        <w:spacing w:after="120"/>
        <w:ind w:firstLine="709"/>
      </w:pPr>
      <w:r>
        <w:rPr>
          <w:sz w:val="24"/>
        </w:rPr>
        <w:t xml:space="preserve">24. Убытки, определенные в соответствии со статьей 274 настоящего Кодекса с учетом всех доходов (расходов), формирующих общую налоговую базу, могут быть направлены на уменьшение налоговой базы (прибыли) по операциям с необращающимися ценными бумагами и необращающимися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25. Убыток в виде отрицательной разницы между рыночной ценой получаемого имущества (имущественных прав) и фактически понесенными затратами на приобретение эмиссионных ценных бумаг (акций и облигаций), организация-эмитент которых была ликвидирована (в том числе в результате применения процедуры банкротства), учитывается в полном объеме на дату ликвидации организации-эмитента в соответствующей налоговой базе в зависимости от категории таких ценных бумаг.</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убыток увеличивается на сумму накопленного процентного (купонного) дохода по таким ценным бумагам, ранее учтенную при определении налоговой базы в соответствии со статьями 271 и 328 настоящего Кодекса, но фактически не полученную налогоплательщиком вследствие ликвидации организации-эмитента, если под него не создавался резерв по сомнительным долгам, и учитывается при определении налоговой базы, в которой учитывался соответствующий накопленный процентный (купонный) доход, на дату ликвидации организации-эмитента.</w:t>
      </w:r>
    </w:p>
    <w:p>
      <w:pPr>
        <w:spacing w:after="120"/>
        <w:ind w:firstLine="709"/>
      </w:pPr>
      <w:r>
        <w:rPr>
          <w:sz w:val="24"/>
        </w:rPr>
        <w:t xml:space="preserve">Правила учета убытка при ликвидации организации, установленные настоящим пунктом, применяются также в отношении убытка, полученного при ликвидации:</w:t>
      </w:r>
    </w:p>
    <w:p>
      <w:pPr>
        <w:spacing w:after="120"/>
        <w:ind w:firstLine="709"/>
      </w:pPr>
      <w:r>
        <w:rPr>
          <w:sz w:val="24"/>
        </w:rPr>
        <w:t xml:space="preserve">организации-заемщика в случае прекращения обязательств по ценным бумагам, выпущенным в целях финансирования займа (кредита);</w:t>
      </w:r>
    </w:p>
    <w:p>
      <w:pPr>
        <w:spacing w:after="120"/>
        <w:ind w:firstLine="709"/>
      </w:pPr>
      <w:r>
        <w:rPr>
          <w:sz w:val="24"/>
        </w:rPr>
        <w:t xml:space="preserve">организации - эмитента базовых ценных бумаг, если по условиям выпуска ценных бумаг исполнение обязательств по ним, включая их погашение, поставлено в зависимость от исполнения обязательств по базовым ценным бумагам.</w:t>
      </w:r>
    </w:p>
    <w:p>
      <w:pPr>
        <w:spacing w:after="120"/>
        <w:ind w:firstLine="709"/>
      </w:pPr>
      <w:r>
        <w:rPr>
          <w:sz w:val="24"/>
        </w:rPr>
        <w:t xml:space="preserve">26. Профессиональные участники рынка ценных бумаг, организаторы торговли, биржи, а также управляющие компании и клиринговые организации, осуществляющие функции центрального контрагента, определяют налоговую базу по операциям с ценными бумагами и производными финансовыми инструментами в порядке, предусмотренном пунктом 21 настоящей статьи, настоящим пунктом и статьей 304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Управляющими компаниями для целей настоящего Кодекса признаются управляющие компании, осуществляющие деятельность в соответствии с Федеральным законом от 29 ноября 2001 года N 156-ФЗ "Об инвестиционных фондах".</w:t>
      </w:r>
    </w:p>
    <w:p>
      <w:pPr>
        <w:spacing w:after="120"/>
        <w:ind w:firstLine="709"/>
      </w:pPr>
      <w:r>
        <w:rPr>
          <w:sz w:val="24"/>
        </w:rPr>
        <w:t xml:space="preserve">Клиринговыми организациями, осуществляющими функции центрального контрагента, для целей настоящего Кодекса признаются клиринговые организации, осуществляющие деятельность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К профессиональным участникам рынка ценных бумаг в целях настоящей главы приравниваются кредитные организации, имеющие соответствующую лицензию профессионального участника рынка ценных бумаг, выданную Центральным банком Российской Федерации.</w:t>
      </w:r>
    </w:p>
    <w:p>
      <w:pPr>
        <w:spacing w:after="120"/>
        <w:ind w:firstLine="709"/>
      </w:pPr>
      <w:r>
        <w:rPr>
          <w:sz w:val="24"/>
        </w:rPr>
        <w:t xml:space="preserve">Налогоплательщики, указанные в абзаце первом настоящего пункта, уменьшают общую налоговую базу на сумму убытков, полученных по операциям с необращающимися ценными бумагами и необращающимися производными финансовыми инструментами. В течение налогового периода перенос на будущее убытков, полученных налогоплательщиками, указанными в абзаце первом настоящего пункта, в соответствующем отчетном периоде текущего налогового периода, может быть осуществлен только в пределах суммы полученной ими прибыли.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27. В целях настоящей главы накопленным процентным (купонным) доходом признается часть процентного (купонного) дохода, выплата которого предусмотрена условиями выпуска такой ценной бумаги, рассчитываемая пропорционально количеству календарных дней, прошедших от даты выпуска ценной бумаги или даты выплаты предшествующего купонного дохода до даты передачи ценной бумаги.</w:t>
      </w:r>
    </w:p>
    <w:p>
      <w:pPr>
        <w:spacing w:after="120"/>
        <w:ind w:firstLine="709"/>
      </w:pPr>
      <w:r>
        <w:rPr>
          <w:sz w:val="24"/>
        </w:rPr>
        <w:t xml:space="preserve">28. По операциям с закладными налоговая база определяется в соответствии с пунктами 1 и 3 статьи 279 настоящего Кодекса.</w:t>
      </w:r>
    </w:p>
    <w:p>
      <w:pPr>
        <w:spacing w:after="120"/>
        <w:ind w:firstLine="709"/>
      </w:pPr>
      <w:r>
        <w:rPr>
          <w:sz w:val="24"/>
        </w:rPr>
        <w:t xml:space="preserve">29. Положения подпунктов 2 и 3 пункта 12 и пунктов 14 - 17 и 19 настоящей статьи в части определения цен ценных бумаг (инвестиционных паев) в целях налогообложения применяются исключительно в отношении сделок, признаваемых контролируемыми в соответствии с разделом V.1 настоящего Кодекса.</w:t>
      </w:r>
    </w:p>
    <w:p>
      <w:pPr>
        <w:spacing w:after="120"/>
        <w:ind w:firstLine="709"/>
      </w:pPr>
      <w:r>
        <w:rPr>
          <w:sz w:val="24"/>
        </w:rPr>
        <w:t xml:space="preserve">В отношении сделок, не признаваемых контролируемыми в соответствии с разделом V.1 настоящего Кодекса, для целей налогообложения применяется фактическая цена этих сделок.</w:t>
      </w:r>
    </w:p>
    <w:p>
      <w:pPr>
        <w:spacing w:after="120"/>
        <w:ind w:firstLine="709"/>
      </w:pPr>
      <w:r>
        <w:rPr>
          <w:sz w:val="24"/>
        </w:rPr>
        <w:t xml:space="preserve">30. По облигациям российских организаций, условиями выпуска и обращения которых предусмотрено получение дохода в виде процентов, подлежащих налогообложению по налоговой ставке, предусмотренной подпунктом 1 пункта 4 статьи 284 настоящего Кодекса, при обращении которых в цену сделки включается часть накопленного купонного дохода, при исчислении общей налоговой базы не учитывается начисленный купонный доход, по которому применяется указанная налоговая ставка.</w:t>
      </w:r>
    </w:p>
    <w:p>
      <w:pPr>
        <w:spacing w:after="120"/>
        <w:ind w:firstLine="709"/>
      </w:pPr>
      <w:r>
        <w:rPr>
          <w:sz w:val="24"/>
        </w:rPr>
        <w:t xml:space="preserve">(п. 30 введен Федеральным законом от 03.07.2016 N 242-ФЗ)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280</dc:title>
  <dc:creator>АРБИТРАЖ! · arbi.ru</dc:creator>
  <cp:lastModifiedBy>АРБИТРАЖ!</cp:lastModifiedBy>
  <dcterms:created xsi:type="dcterms:W3CDTF">2026-10-22T22:01:08.455Z</dcterms:created>
</cp:coreProperties>
</file>