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282.3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по операциям с цифровой валютой определяется в соответствии с положениями настоящей статьи и отдельно от общей налоговой базы (если иное не предусмотрено настоящей статьей).</w:t>
      </w:r>
    </w:p>
    <w:p>
      <w:pPr>
        <w:spacing w:after="120"/>
        <w:ind w:firstLine="709"/>
      </w:pPr>
      <w:r>
        <w:rPr>
          <w:sz w:val="24"/>
        </w:rPr>
        <w:t xml:space="preserve">2. Доходы в виде цифровой валюты, полученной в результате осуществления майнинга цифровой валюты, определяются исходя из рыночной котировки такой цифровой валюты на дату признания дохода.</w:t>
      </w:r>
    </w:p>
    <w:p>
      <w:pPr>
        <w:spacing w:after="120"/>
        <w:ind w:firstLine="709"/>
      </w:pPr>
      <w:r>
        <w:rPr>
          <w:sz w:val="24"/>
        </w:rPr>
        <w:t xml:space="preserve">Рыночной котировкой цифровой валюты в целях настоящего Кодекса признается цена закрытия, рассчитываемая иностранным организатором торговли (включая биржу) по сделкам, совершенным через него в течение торгового дня. Иностранным организатором торговли (включая биржу) может быть лицо, объем торгов по сделкам с цифровой валютой которого превышает 100 миллиардов рублей за соответствующий торговый день, при условии, что информация о рыночных котировках цифровой валюты размещается на его официальном сайте в информационно-телекоммуникационной сети "Интернет" в течение трех лет, предшествующих дате совершения операций с цифровой валютой.</w:t>
      </w:r>
    </w:p>
    <w:p>
      <w:pPr>
        <w:spacing w:after="120"/>
        <w:ind w:firstLine="709"/>
      </w:pPr>
      <w:r>
        <w:rPr>
          <w:sz w:val="24"/>
        </w:rPr>
        <w:t xml:space="preserve">Если по одной и той же цифровой валюте сделки совершались через двух и более иностранных организаторов торговли (включая биржу), налогоплательщик вправе самостоятельно выбрать рыночную котировку, сложившуюся у одного из указанных иностранных организаторов торговли (включая биржу).</w:t>
      </w:r>
    </w:p>
    <w:p>
      <w:pPr>
        <w:spacing w:after="120"/>
        <w:ind w:firstLine="709"/>
      </w:pPr>
      <w:r>
        <w:rPr>
          <w:sz w:val="24"/>
        </w:rPr>
        <w:t xml:space="preserve">Если по одной и той же цифровой валюте сделки совершались по ценам в разных валютах и (или) в иностранных цифровых правах, курс которых привязан к курсу иностранной валюты (далее - торговые пары), налогоплательщик вправе самостоятельно выбрать торговую пару, цена закрытия которой будет признаваться рыночной котировкой цифровой валюты.</w:t>
      </w:r>
    </w:p>
    <w:p>
      <w:pPr>
        <w:spacing w:after="120"/>
        <w:ind w:firstLine="709"/>
      </w:pPr>
      <w:r>
        <w:rPr>
          <w:sz w:val="24"/>
        </w:rPr>
        <w:t xml:space="preserve">Цена закрытия цифровой валюты, выраженная в иностранной валюте, пересчитывается в рубли по официальному курсу Центрального банка Российской Федерации, действовавшему на дату признания дохода.</w:t>
      </w:r>
    </w:p>
    <w:p>
      <w:pPr>
        <w:spacing w:after="120"/>
        <w:ind w:firstLine="709"/>
      </w:pPr>
      <w:r>
        <w:rPr>
          <w:sz w:val="24"/>
        </w:rPr>
        <w:t xml:space="preserve">Цена закрытия цифровой валюты, выраженная в иностранных цифровых правах, курс которых привязан к курсу иностранной валюты, пересчитывается в рубли по официальному курсу Центрального банка Российской Федерации, действовавшему на дату признания дохода.</w:t>
      </w:r>
    </w:p>
    <w:p>
      <w:pPr>
        <w:spacing w:after="120"/>
        <w:ind w:firstLine="709"/>
      </w:pPr>
      <w:r>
        <w:rPr>
          <w:sz w:val="24"/>
        </w:rPr>
        <w:t xml:space="preserve">3. Доход (выручка) от реализации цифровой валюты определяется исходя из фактической цены реализации такой цифровой валюты, но не ниже рыночной котировки такой цифровой валюты, уменьшенной на 20 процентов.</w:t>
      </w:r>
    </w:p>
    <w:p>
      <w:pPr>
        <w:spacing w:after="120"/>
        <w:ind w:firstLine="709"/>
      </w:pPr>
      <w:r>
        <w:rPr>
          <w:sz w:val="24"/>
        </w:rPr>
        <w:t xml:space="preserve">При приобретении цифровой валюты ее стоимость определяется исходя из цены приобретения, но не выше рыночной котировки цифровой валюты, увеличенной на 20 процентов.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Стоимость цифровой валюты, полученной в результате майнинга и принятой к налоговому учету до 01.01.2025, равна сумме расходов налогоплательщика, связанных с осуществлением майнинга такой валюты, не признанных для целей налогообложения на 01.01.2025 (ФЗ от 29.11.2024 N 418-ФЗ ).</w:t>
      </w:r>
    </w:p>
    <w:p>
      <w:pPr>
        <w:spacing w:after="120"/>
        <w:ind w:firstLine="709"/>
      </w:pPr>
      <w:r>
        <w:rPr>
          <w:sz w:val="24"/>
        </w:rPr>
        <w:t xml:space="preserve">Стоимость цифровой валюты, полученной в результате осуществления майнинга цифровой валюты, равна сумме дохода, определенного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При реализации (безвозмездной передаче) цифровой валюты налогоплательщик определяет налоговую базу как доход (выручку) от реализации цифровой валюты, уменьшенный на ее стоимость и затраты на реализацию такой цифровой валюты.</w:t>
      </w:r>
    </w:p>
    <w:p>
      <w:pPr>
        <w:spacing w:after="120"/>
        <w:ind w:firstLine="709"/>
      </w:pPr>
      <w:r>
        <w:rPr>
          <w:sz w:val="24"/>
        </w:rPr>
        <w:t xml:space="preserve">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валюты:</w:t>
      </w:r>
    </w:p>
    <w:p>
      <w:pPr>
        <w:spacing w:after="120"/>
        <w:ind w:firstLine="709"/>
      </w:pPr>
      <w:r>
        <w:rPr>
          <w:sz w:val="24"/>
        </w:rPr>
        <w:t xml:space="preserve">по стоимости первой по времени приобретения (ФИФО);</w:t>
      </w:r>
    </w:p>
    <w:p>
      <w:pPr>
        <w:spacing w:after="120"/>
        <w:ind w:firstLine="709"/>
      </w:pPr>
      <w:r>
        <w:rPr>
          <w:sz w:val="24"/>
        </w:rPr>
        <w:t xml:space="preserve">по стоимости единицы.</w:t>
      </w:r>
    </w:p>
    <w:p>
      <w:pPr>
        <w:spacing w:after="120"/>
        <w:ind w:firstLine="709"/>
      </w:pPr>
      <w:r>
        <w:rPr>
          <w:sz w:val="24"/>
        </w:rPr>
        <w:t xml:space="preserve">5. Расходы налогоплательщика, связанные с осуществлением майнинга цифровой валюты, независимо от их состава признаются косвенными расходами.</w:t>
      </w:r>
    </w:p>
    <w:p>
      <w:pPr>
        <w:spacing w:after="120"/>
        <w:ind w:firstLine="709"/>
      </w:pPr>
      <w:r>
        <w:rPr>
          <w:sz w:val="24"/>
        </w:rPr>
        <w:t xml:space="preserve">6. В целях налогообложения текущая переоценка цифровой валюты не производится.</w:t>
      </w:r>
    </w:p>
    <w:p>
      <w:pPr>
        <w:spacing w:after="120"/>
        <w:ind w:firstLine="709"/>
      </w:pPr>
      <w:r>
        <w:rPr>
          <w:sz w:val="24"/>
        </w:rPr>
        <w:t xml:space="preserve">7. Убытки от операций с цифровыми валютами прошлых налоговых периодов могут быть отнесены на уменьшение налоговой базы по операциям с цифровой валютой, исчисленной отдельно от общей налоговой базы текущего налогового (отчетного) периода с учетом ограничения, установленного пунктом 2.1 статьи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Доходы и расходы по операциям с цифровыми валютами (за исключением доходов и расходов, связанных с осуществлением майнинга цифровой валюты) в рамках экспериментального правового режима в сфере цифровых инноваций, предусматривающего использование цифровой валюты в качестве средства платежа по внешнеторговым договорам (контрактам) и установленного в соответствии со статьей 1.1 Федерального закона от 31 июля 2020 года N 259-ФЗ "О цифровых финансовых активах, цифровой валюте и о внесении изменений в отдельные законодательные акты Российской Федерации", учитываются в общей налоговой базе.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282.3</dc:title>
  <dc:creator>АРБИТРАЖ! · arbi.ru</dc:creator>
  <cp:lastModifiedBy>АРБИТРАЖ!</cp:lastModifiedBy>
  <dcterms:created xsi:type="dcterms:W3CDTF">2026-10-22T13:59:19.140Z</dcterms:created>
</cp:coreProperties>
</file>