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284.10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25.02.2022 N 18-ФЗ)</w:t>
      </w:r>
    </w:p>
    <w:p>
      <w:pPr>
        <w:spacing w:after="120"/>
        <w:ind w:firstLine="709"/>
      </w:pPr>
      <w:r>
        <w:rPr>
          <w:sz w:val="24"/>
        </w:rPr>
        <w:t xml:space="preserve">1. Международная холдинговая компания применяет пониженные налоговые ставки по налогу, предусмотренные для международных холдинговых компаний настоящей главой, при выполнении условий, установленных настоящей статьей.</w:t>
      </w:r>
    </w:p>
    <w:p>
      <w:pPr>
        <w:spacing w:after="120"/>
        <w:ind w:firstLine="709"/>
      </w:pPr>
      <w:r>
        <w:rPr>
          <w:sz w:val="24"/>
        </w:rPr>
        <w:t xml:space="preserve">2. Международная холдинговая компания применяет пониженные налоговые ставки по налогу, предусмотренные для международных холдинговых компаний настоящей главой, если в течение всего отчетного (налогового) периода по налогу на прибыль организаций она удовлетворяет следующим условиям:</w:t>
      </w:r>
    </w:p>
    <w:p>
      <w:pPr>
        <w:spacing w:after="120"/>
        <w:ind w:firstLine="709"/>
      </w:pPr>
      <w:r>
        <w:rPr>
          <w:sz w:val="24"/>
        </w:rPr>
        <w:t xml:space="preserve">1) хотя бы одно контролирующее лицо международной холдинговой компании признается налоговым резидентом Российской Федерации и (или) является гражданином Российской Федерации;</w:t>
      </w:r>
    </w:p>
    <w:p>
      <w:pPr>
        <w:spacing w:after="120"/>
        <w:ind w:firstLine="709"/>
      </w:pPr>
      <w:r>
        <w:rPr>
          <w:sz w:val="24"/>
        </w:rPr>
        <w:t xml:space="preserve">(пп. 1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1.1) на 1-е число налогового периода совокупная доля прямого и (или) косвенного участия контролирующих лиц международной холдинговой компании составляет не менее 75 процентов от совокупной доли прямого и (или) косвенного участия контролирующих лиц организации, являвшихся таковыми на 1 марта 2022 года и (или) ставших таковыми в период с 1 марта 2022 года до 1-го числа соответствующего отчетного (налогового) периода в результате наследования лиц, являвшихся контролирующими лицами этой компании по состоянию на 1 марта 2022 года. При этом совокупная доля прямого и (или) косвенного участия контролирующих лиц международной холдинговой компании, являвшихся таковыми по состоянию на 1 марта 2022 года, должна быть не менее 75 процентов уставного капитала этой компании по состоянию на указанную дату. Положения настоящего подпункта не применяются к международной холдинговой компании, являющейся международной компанией;</w:t>
      </w:r>
    </w:p>
    <w:p>
      <w:pPr>
        <w:spacing w:after="120"/>
        <w:ind w:firstLine="709"/>
      </w:pPr>
      <w:r>
        <w:rPr>
          <w:sz w:val="24"/>
        </w:rPr>
        <w:t xml:space="preserve">(пп. 1.1 введен Федеральным законом от 26.03.2022 N 66-ФЗ)</w:t>
      </w:r>
    </w:p>
    <w:p>
      <w:pPr>
        <w:spacing w:after="120"/>
        <w:ind w:firstLine="709"/>
      </w:pPr>
      <w:r>
        <w:rPr>
          <w:sz w:val="24"/>
        </w:rPr>
        <w:t xml:space="preserve">2) доля доходов, указанных в пункте 4 статьи 309.1 настоящего Кодекса, за отчетный (налоговый) период составляет более 90 процентов в общей сумме доходов международной холдинговой компании, учитываемых при определении налоговой базы по налогу. При исчислении показателя, предусмотренного настоящим подпунктом, не учитываются доходы, указанные в подпункте 63 пункта 1 и пункте 4 статьи 251 настоящего Кодекса;</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 п. 2 ст. 284.10 (в ред. ФЗ от 28.11.2025 N 425-ФЗ) распространяется на правоотношения, возникшие с 01.01.2025.</w:t>
      </w:r>
    </w:p>
    <w:p>
      <w:pPr>
        <w:spacing w:after="120"/>
        <w:ind w:firstLine="709"/>
      </w:pPr>
      <w:r>
        <w:rPr>
          <w:sz w:val="24"/>
        </w:rPr>
        <w:t xml:space="preserve">3) доля расходов, понесенных международной холдинговой компанией на приобретение товаров (работ, услуг) на территории Российской Федерации, за отчетный (налоговый) период составляет более 70 процентов от общей суммы понесенных ею расходов на приобретение товаров (работ, услуг). В целях настоящего подпункта расходами на приобретение товаров (работ, услуг) на территории Российской Федерации признаются расходы, связанные с приобретением международной холдинговой компанией товаров, работ (услуг), местом реализации которых в соответствии с главой 21 настоящего Кодекса является Российская Федерация. При исчислении показателя, предусмотренного настоящим подпунктом, не учитываются расходы по операциям с ценными бумагами, а также расходы, указанные в пункте 48.28 статьи 270 настоящего Кодекса;</w:t>
      </w:r>
    </w:p>
    <w:p>
      <w:pPr>
        <w:spacing w:after="120"/>
        <w:ind w:firstLine="709"/>
      </w:pPr>
      <w:r>
        <w:rPr>
          <w:sz w:val="24"/>
        </w:rPr>
        <w:t xml:space="preserve">(в ред. Федеральных законов от 26.03.2022 N 66-ФЗ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4) управление международной холдинговой компанией и принятие управленческих решений осуществляются на территории Российской Федерации.</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статьи управление международной холдинговой компанией и принятие управленческих решений осуществляются на территории Российской Федерации, если одновременно выполняются следующие условия:</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работа единоличного или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осуществляется только на территории Российской Федерации;</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при принятии указанных решений единоличным исполнительным органом международной холдинговой компании лицо, осуществляющее функции единоличного исполнительного органа международной холдинговой компании, фактически присутствует на территории Российской Федерации;</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во время каждого заседания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в Российской Федерации лица, входящие в состав соответствующих органов управления международной холдинговой компании, в количестве, достаточном для принятия управленческих решений, фактически присутствуют на территории Российской Федерации;</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протоколы заседаний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и другие документы международной холдинговой компании соответствуют законодательству Российской Федерации;</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5) в штате международной холдинговой компании непрерывно числятся не менее 15 работников, которые на условиях полного рабочего времени осуществляют функции, относящиеся хотя бы к одному из видов деятельности международной холдинговой компании, направленной на получение доходов, указанных в пункте 4 статьи 309.1 настоящего Кодекса, в частности таких, как оказание консультационных, юридических, бухгалтерских, аудиторских, инжиниринговых, рекламных, маркетинговых услуг, услуг по обработке информации, проведение научно-исследовательских и опытно-конструкторских работ, и которые являются налоговыми резидентами Российской Федерации, постоянно (временно) проживающими на территории субъекта Российской Федерации, в котором расположено место нахождения международной холдинговой компании;</w:t>
      </w:r>
    </w:p>
    <w:p>
      <w:pPr>
        <w:spacing w:after="120"/>
        <w:ind w:firstLine="709"/>
      </w:pPr>
      <w:r>
        <w:rPr>
          <w:sz w:val="24"/>
        </w:rPr>
        <w:t xml:space="preserve">6) международной холдинговой компании принадлежит на праве собственности или на ином законном основании офисное помещение общей площадью не менее 50 квадратных метров, находящееся в пределах территории специального административного района, в котором расположено место нахождения международной холдинговой компании;</w:t>
      </w:r>
    </w:p>
    <w:p>
      <w:pPr>
        <w:spacing w:after="120"/>
        <w:ind w:firstLine="709"/>
      </w:pPr>
      <w:r>
        <w:rPr>
          <w:sz w:val="24"/>
        </w:rPr>
        <w:t xml:space="preserve">7) утратил силу. - Федеральный закон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8) международная компания (организация, указанная в пункте 1.1 статьи 24.2 настоящего Кодекса) отвечает условиям ее признания международной холдинговой компанией в соответствии со статьей 24.2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П. 2.1 ст. 284.10 применяется для целей налогообложения доходов, полученных (выплаченных) международными холдинговыми компаниями, являющимися международными компаниями, начиная с налогового периода 2022 года (ФЗ от 19.12.2023 N 595-ФЗ ).</w:t>
      </w:r>
    </w:p>
    <w:p>
      <w:pPr>
        <w:spacing w:after="120"/>
        <w:ind w:firstLine="709"/>
      </w:pPr>
      <w:r>
        <w:rPr>
          <w:sz w:val="24"/>
        </w:rPr>
        <w:t xml:space="preserve">2.1. Для целей настоящей статьи международная холдинговая компания, являющаяся международной компанией, признается удовлетворяющей условиям, установленным подпунктами 5 и 6 пункта 2 настоящей статьи, в течение всего первого налогового (отчетного) периода, определяемого в соответствии с пунктом 3 статьи 285 настоящего Кодекса, если в течение всего периода с даты начала получения (выплаты) этой компанией в первом налоговом (отчетном) периоде доходов, в отношении которых настоящим Кодексом предусмотрено применение пониженных налоговых ставок, до даты окончания указанного налогового (отчетного) периода (включительно) эта компания удовлетворяет таким условиям.</w:t>
      </w:r>
    </w:p>
    <w:p>
      <w:pPr>
        <w:spacing w:after="120"/>
        <w:ind w:firstLine="709"/>
      </w:pPr>
      <w:r>
        <w:rPr>
          <w:sz w:val="24"/>
        </w:rPr>
        <w:t xml:space="preserve">(п. 2.1 введен Федеральным законом от 19.12.2023 N 595-ФЗ)</w:t>
      </w:r>
    </w:p>
    <w:p>
      <w:pPr>
        <w:spacing w:after="120"/>
        <w:ind w:firstLine="709"/>
      </w:pPr>
      <w:r>
        <w:rPr>
          <w:sz w:val="24"/>
        </w:rPr>
        <w:t xml:space="preserve">3. В целях подтверждения выполнения условий, установленных пунктом 2 настоящей статьи, международная холдинговая компания одновременно с налоговой декларацией по налогу на прибыль организаций за налоговый период представляет в налоговый орган документы, подтверждающие соблюдение указанных условий.</w:t>
      </w:r>
    </w:p>
    <w:p>
      <w:pPr>
        <w:spacing w:after="120"/>
        <w:ind w:firstLine="709"/>
      </w:pPr>
      <w:r>
        <w:rPr>
          <w:sz w:val="24"/>
        </w:rPr>
        <w:t xml:space="preserve">В качестве документального подтверждения соблюдения условий, установленных подпунктами 1 - 5 пункта 2 настоящей статьи, международная холдинговая компания представляет следующие сведения:</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о контролирующих лицах международной холдинговой компании;</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о доле доходов, указанных в пункте 4 статьи 309.1 настоящего Кодекса, в общей сумме доходов международной холдинговой компании, учитываемых при определении налоговой базы по налогу в соответствии с настоящей главой;</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о доле расходов, понесенных международной холдинговой компанией на территории Российской Федерации, от общей суммы понесенных ею расходов;</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о подтверждении фактов проведения заседаний коллегиального исполнительного органа или совета директоров (наблюдательного совета) только на территории Российской Федерации, фактического присутствия на территории Российской Федерации лиц, входящих в состав соответствующих органов управления международной холдинговой компании, в количестве, достаточном для принятия управленческих решений, и соответствия оформляемых документов законодательству Российской Федерации;</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о численности работников в штате международной холдинговой компании, об осуществляемых ими функциях и о месте их постоянного (временного) проживания.</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Форма (формат) представления сведений, указанных в абзацах третьем - седьмом настоящего пункта,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4. 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объеме не менее 300 миллионов рублей (включая налог на добавленную стоимость) на территории того субъекта Российской Федерации, в котором расположено место нахождения международной холдинговой компании, в одной или нескольких из следующих форм:</w:t>
      </w:r>
    </w:p>
    <w:p>
      <w:pPr>
        <w:spacing w:after="120"/>
        <w:ind w:firstLine="709"/>
      </w:pPr>
      <w:r>
        <w:rPr>
          <w:sz w:val="24"/>
        </w:rPr>
        <w:t xml:space="preserve">в форме капитальных вложений в строительство объекта (объектов) социально-культурной, транспортной, энергетической, жилищно-коммунальной и (или) инженерной инфраструктур с последующей передачей такого объекта (объектов) в собственность указанных субъекта Российской Федерации либо муниципального образования, расположенного на территории указанного субъекта Российской Федерации, в течение шести месяцев со дня истечения срока, установленного абзацем первым настоящего пункта;</w:t>
      </w:r>
    </w:p>
    <w:p>
      <w:pPr>
        <w:spacing w:after="120"/>
        <w:ind w:firstLine="709"/>
      </w:pPr>
      <w:r>
        <w:rPr>
          <w:sz w:val="24"/>
        </w:rPr>
        <w:t xml:space="preserve">в форме капитальных вложений в реконструкцию и (или) техническое перевооружение объекта (объектов) социально-культурной, транспортной, энергетической, жилищно-коммунальной и (или) инженерной инфраструктур, принадлежащего указанным субъекту Российской Федерации либо муниципальному образованию, расположенному на территории указанного субъекта Российской Федерации, с последующей передачей результатов работ и (или) имущества в собственность соответствующих субъекта Российской Федерации либо муниципального образования в течение шести месяцев со дня истечения срока, установленного абзацем первым настоящего пункта;</w:t>
      </w:r>
    </w:p>
    <w:p>
      <w:pPr>
        <w:spacing w:after="120"/>
        <w:ind w:firstLine="709"/>
      </w:pPr>
      <w:r>
        <w:rPr>
          <w:sz w:val="24"/>
        </w:rPr>
        <w:t xml:space="preserve">в форме передачи в собственность указанных субъекта Российской Федерации либо муниципального образования, расположенного на территории указанного субъекта Российской Федерации, машин (за исключением легковых автомобилей), оборудования, инструмента, инвентаря для использования на объекте (объектах) социально-культурной, транспортной, энергетической, жилищно-коммунальной и (или) инженерной инфраструктур, принадлежащем соответствующим субъекту Российской Федерации либо муниципальному образованию;</w:t>
      </w:r>
    </w:p>
    <w:p>
      <w:pPr>
        <w:spacing w:after="120"/>
        <w:ind w:firstLine="709"/>
      </w:pPr>
      <w:r>
        <w:rPr>
          <w:sz w:val="24"/>
        </w:rPr>
        <w:t xml:space="preserve">в форме пожертвований, назначением использования которых международной холдинговой компанией определены строительство, реконструкция и (или) перевооружение объектов социально-культурной, транспортной, энергетической, жилищно-коммунальной и (или) инженерной инфраструктур и получателем которых является указанные субъект Российской Федерации, муниципальное образование, расположенное на территории указанного субъекта Российской Федерации, либо организация, учрежденная указанным субъектом Российской Федерации в целях поддержки реализации инвестиционных проектов, предусматривающих строительство, реконструкцию и (или) перевооружение объектов социально-культурной, транспортной, энергетической, жилищно-коммунальной и (или) инженерной инфраструктур. В целях настоящего пункта высший исполнительный орган субъекта Российской Федерации определяет перечень указанных в настоящем абзаце организаций, а также порядок публикации этими организациями информации о реализуемых при их поддержке инвестиционных проектах и результатах использования полученных от международных холдинговых компаний пожертвований.</w:t>
      </w:r>
    </w:p>
    <w:p>
      <w:pPr>
        <w:spacing w:after="120"/>
        <w:ind w:firstLine="709"/>
      </w:pPr>
      <w:r>
        <w:rPr>
          <w:sz w:val="24"/>
        </w:rPr>
        <w:t xml:space="preserve">Выбранная в соответствии с настоящим пунктом форма (формы), в которой международная холдинговая компания планирует исполнить обязанность, установленную настоящим пунктом, согласовывается с высшим исполнительным органом субъекта Российской Федерации. В целях настоящего абзаца международная холдинговая компания обращается в высший исполнительный орган субъекта Российской Федерации с заявлением о начале исполнения обязанности, установленной настоящим пунктом, с указанием формы (форм) ее исполнения. Такое заявление подается международной холдинговой компанией не позднее шести месяцев со дня начала течения срока, установленного абзацем первым настоящего пункта, а в случае применения международной холдинговой компанией, являющейся международной компанией, пониженных налоговых ставок по налогу, предусмотренных для международных холдинговых компаний настоящей главой, начиная с первого налогового (отчетного) периода не позднее шести месяцев с даты ее регистрации в качестве международной компании. В срок не позднее одного месяца со дня получения такого заявления высший исполнительный орган субъекта Российской Федерации принимает решение о согласовании формы (форм) исполнения международной холдинговой компанией обязанности, установленной настоящим пунктом, либо сообщает о невозможности согласования данной формы (форм) с указанием причин.</w:t>
      </w:r>
    </w:p>
    <w:p>
      <w:pPr>
        <w:spacing w:after="120"/>
        <w:ind w:firstLine="709"/>
      </w:pPr>
      <w:r>
        <w:rPr>
          <w:sz w:val="24"/>
        </w:rPr>
        <w:t xml:space="preserve">Не позднее трех месяцев со дня истечения срока, установленного абзацем первым настоящего пункта, а в случаях, указанных в абзацах втором и третьем настоящего пункта, не позднее трех месяцев со дня истечения сроков, установленных указанными абзацами настоящего пункта, международная холдинговая компания обращается в высший исполнительный орган субъекта Российской Федерации с заявлением о подтверждении факта исполнения ею обязанности, предусмотренной настоящим пунктом, по форме, установленной высшим исполнительным органом субъекта Российской Федерации.</w:t>
      </w:r>
    </w:p>
    <w:p>
      <w:pPr>
        <w:spacing w:after="120"/>
        <w:ind w:firstLine="709"/>
      </w:pPr>
      <w:r>
        <w:rPr>
          <w:sz w:val="24"/>
        </w:rPr>
        <w:t xml:space="preserve">В срок не позднее трех месяцев со дня получения указанного в абзаце седьмом настоящего пункта заявления высший исполнительный орган субъекта Российской Федерации принимает решение о признании обязанности международной холдинговой компании, предусмотренной настоящим пунктом, исполненной (неисполненной) (далее в настоящей статье - решение об исполнении (неисполнении) обязанности). Порядок и условия принятия решения об исполнении (неисполнении) обязанности устанавливаются высшим исполнительным органом субъекта Российской Федерации.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В течение трех рабочих дней со дня принятия решения об исполнении (неисполнении) обязанности высший исполнительный орган субъекта Российской Федерации информирует о принятом решении об исполнении (неисполнении) обязанности налоговый орган по месту нахождения международной холдинговой компании. Форма (формат) и порядок направления указанной информации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По согласованию с высшим исполнительным органом субъекта Российской Федерации срок, установленный абзацем первым настоящего пункта, может быть продлен на один год. До истечения срока, установленного абзацем первым настоящего пункта, международная холдинговая компания может обратиться в высший исполнительный орган субъекта Российской Федерации с заявлением о продлении срока осуществления инвестиций по форме, установленной высшим исполнительным органом субъекта Российской Федерации. В срок не позднее одного месяца со дня получения такого заявления высший исполнительный орган субъекта Российской Федерации принимает решение о продлении срока осуществления инвестиций либо сообщает о невозможности продления срока осуществления инвестиций с указанием причин.</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 4 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несоблюдения международной холдинговой компанией хотя бы одного из условий, установленных пунктом 2 настоящей статьи, либо неисполнения международной холдинговой компанией обязанности, предусмотренной пунктом 4 настоящей статьи, сумма налога, не уплаченная в результате неправомерного применения ею пониженных налоговых ставок, подлежит уплате в бюджет с уплатой соответствующих пеней.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284.10</dc:title>
  <dc:creator>АРБИТРАЖ! · arbi.ru</dc:creator>
  <cp:lastModifiedBy>АРБИТРАЖ!</cp:lastModifiedBy>
  <dcterms:created xsi:type="dcterms:W3CDTF">2026-10-22T20:23:22.442Z</dcterms:created>
</cp:coreProperties>
</file>