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1. Личные фонды применяют налоговую ставку в размере 15 процентов, установленную пунктом 1.18 статьи 284 настоящего Кодекса, при выполнении условия, установленного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Личный фонд применяет налоговую ставку в размере 15 процентов при условии, что за отчетный (налоговый) период в общей сумме доходов личного фонда, учитываемых при определении налоговой базы по налогу (за исключением доходов в виде положительной курсовой разницы), более 90 процентов в совокупности составляют следующие доходы:</w:t>
      </w:r>
    </w:p>
    <w:p>
      <w:pPr>
        <w:spacing w:after="120"/>
        <w:ind w:firstLine="709"/>
      </w:pPr>
      <w:r>
        <w:rPr>
          <w:sz w:val="24"/>
        </w:rPr>
        <w:t xml:space="preserve">1) дивиденды;</w:t>
      </w:r>
    </w:p>
    <w:p>
      <w:pPr>
        <w:spacing w:after="120"/>
        <w:ind w:firstLine="709"/>
      </w:pPr>
      <w:r>
        <w:rPr>
          <w:sz w:val="24"/>
        </w:rPr>
        <w:t xml:space="preserve">2) доходы, получаемые в результате распределения прибыли или имущества организаций, иных лиц или их объединений, в том числе при их ликвидации;</w:t>
      </w:r>
    </w:p>
    <w:p>
      <w:pPr>
        <w:spacing w:after="120"/>
        <w:ind w:firstLine="709"/>
      </w:pPr>
      <w:r>
        <w:rPr>
          <w:sz w:val="24"/>
        </w:rPr>
        <w:t xml:space="preserve">3) процентный доход от долговых обязательств любого вида, включая облигации с правом на участие в прибыли и конвертируемые облигации;</w:t>
      </w:r>
    </w:p>
    <w:p>
      <w:pPr>
        <w:spacing w:after="120"/>
        <w:ind w:firstLine="709"/>
      </w:pPr>
      <w:r>
        <w:rPr>
          <w:sz w:val="24"/>
        </w:rPr>
        <w:t xml:space="preserve">4) доходы от реализации акций (долей) и (или) уступки прав в иностранной организации, не являющейся юридическим лицом по иностранному праву;</w:t>
      </w:r>
    </w:p>
    <w:p>
      <w:pPr>
        <w:spacing w:after="120"/>
        <w:ind w:firstLine="709"/>
      </w:pPr>
      <w:r>
        <w:rPr>
          <w:sz w:val="24"/>
        </w:rPr>
        <w:t xml:space="preserve">5) доходы по операциям с производными финансовыми инструментами;</w:t>
      </w:r>
    </w:p>
    <w:p>
      <w:pPr>
        <w:spacing w:after="120"/>
        <w:ind w:firstLine="709"/>
      </w:pPr>
      <w:r>
        <w:rPr>
          <w:sz w:val="24"/>
        </w:rPr>
        <w:t xml:space="preserve">6) доходы от реализации (в том числе погашения) инвестиционных паев паевых инвестиционных фондов, а также доходы от доверительного управления имуществом, составляющим паевой инвестиционный фонд;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доходы от реализации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8) доходы от сдачи в аренду недвижимого имущества, за исключением следующих доходов:</w:t>
      </w:r>
    </w:p>
    <w:p>
      <w:pPr>
        <w:spacing w:after="120"/>
        <w:ind w:firstLine="709"/>
      </w:pPr>
      <w:r>
        <w:rPr>
          <w:sz w:val="24"/>
        </w:rPr>
        <w:t xml:space="preserve">от предоставления в аренду или субаренду морских судов, судов смешанного (река - море) плавания или воздушных судов и (или)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от предоставления в аренду или субаренду подземных хранилищ газа и трубопроводов, используемых для транспортировки углеводородов.</w:t>
      </w:r>
    </w:p>
    <w:p>
      <w:pPr>
        <w:spacing w:after="120"/>
        <w:ind w:firstLine="709"/>
      </w:pPr>
      <w:r>
        <w:rPr>
          <w:sz w:val="24"/>
        </w:rPr>
        <w:t xml:space="preserve">3. Личный фонд одновременно с налоговой декларацией по налогу на прибыль организаций за отчетный (налоговый) период представляет в налоговый орган расчет доли доходов, указанных в пункте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Форма (формат) представления расчета доли доходов, указанного в настоящем пункте,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 итогам налогового периода налогоплательщик не выполняет условие, установленное пунктом 2 настоящей статьи, сумма налога за такой налоговый период подлежит исчислению с применением налоговой ставки, установленной пунктом 1 статьи 284 настоящего Кодекса, и уплате в бюджет в установленном порядке с уплатой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284.12</dc:title>
  <dc:creator>АРБИТРАЖ! · arbi.ru</dc:creator>
  <cp:lastModifiedBy>АРБИТРАЖ!</cp:lastModifiedBy>
  <dcterms:created xsi:type="dcterms:W3CDTF">2026-10-22T20:22:25.360Z</dcterms:created>
</cp:coreProperties>
</file>