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288.3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23.05.2016 N 144-ФЗ)</w:t>
      </w:r>
    </w:p>
    <w:p>
      <w:pPr>
        <w:spacing w:after="120"/>
        <w:ind w:firstLine="709"/>
      </w:pPr>
      <w:r>
        <w:rPr>
          <w:sz w:val="24"/>
        </w:rPr>
        <w:t xml:space="preserve">1. В целях настоящей статьи доходы (расходы), полученные (произведенные) при осуществлении иной хозяйственной деятельности участником регионального инвестиционного проекта, для которого не требуется включение в реестр участников региональных инвестиционных проектов, учитываются при исчислении налоговой базы только при выполнении условия, предусмотренного пунктом 1 статьи 284.3-1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Сумма налога подлежит восстановлению и уплате в бюджет в установленном порядке с уплатой соответствующих пеней, начисляемых со дня, следующего за установленным статьей 287 настоящего Кодекса днем уплаты налога (авансового платежа по налогу), исчисленного без учета применения налоговых льгот, указанных в пункте 1.5-1 статьи 284 и пункте 3 статьи 284.3-1 настоящего Кодекса, за период применения таких налоговых льгот, начиная с налогового периода, с которого прекращено применение таких налоговых льгот по основанию, указанному в пункте 3 статьи 25.12-1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При определении налоговой базы, к которой применяются налоговые ставки, предусмотренные пунктом 1.5-1 статьи 284 и пунктом 3 статьи 284.3-1 настоящего Кодекса, не учитываются доходы и расходы, признанные участником регионального инвестиционного проекта в порядке правопреемства при присоединении к нему другой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288.3</dc:title>
  <dc:creator>АРБИТРАЖ! · arbi.ru</dc:creator>
  <cp:lastModifiedBy>АРБИТРАЖ!</cp:lastModifiedBy>
  <dcterms:created xsi:type="dcterms:W3CDTF">2026-10-22T06:43:51.652Z</dcterms:created>
</cp:coreProperties>
</file>