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НК РФ, часть вторая, ст. 288.5</w:t>
      </w:r>
    </w:p>
    <w:p>
      <w:pPr>
        <w:spacing w:after="120"/>
        <w:ind w:firstLine="709"/>
      </w:pPr>
      <w:r>
        <w:rPr>
          <w:sz w:val="24"/>
        </w:rPr>
        <w:t xml:space="preserve">Акт: Налоговый кодекс Российской Федерации (часть вторая) № 117-ФЗ</w:t>
      </w:r>
    </w:p>
    <w:p>
      <w:pPr>
        <w:spacing w:after="120"/>
        <w:ind w:firstLine="709"/>
      </w:pPr>
      <w:r>
        <w:rPr>
          <w:sz w:val="24"/>
        </w:rPr>
        <w:t xml:space="preserve">Источник: http://pravo.gov.ru/</w:t>
      </w:r>
    </w:p>
    <w:p>
      <w:pPr>
        <w:spacing w:after="120"/>
        <w:ind w:firstLine="709"/>
      </w:pPr>
      <w:r>
        <w:rPr>
          <w:sz w:val="24"/>
        </w:rPr>
        <w:t xml:space="preserve">Раздел: Глава 25. Налог на прибыль организаций</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(введена Федеральным законом от 28.11.2025 N 425-ФЗ)</w:t>
      </w:r>
    </w:p>
    <w:p>
      <w:pPr>
        <w:spacing w:after="120"/>
        <w:ind w:firstLine="709"/>
      </w:pPr>
      <w:r>
        <w:rPr>
          <w:sz w:val="24"/>
        </w:rPr>
        <w:t xml:space="preserve">1. Налогоплательщик, который является участником международной группы компаний, определяемым в соответствии с пунктом 2 статьи 105.16-1 настоящего Кодекса, за исключением иностранных организаций, не осуществляющих свою деятельность в Российской Федерации через постоянное представительство и получающих доходы от источников в Российской Федерации (далее в целях настоящей статьи - участник), по итогам налогового периода обязан применить положения настоящей статьи при выполнении условий, установленных настоящей статьей.</w:t>
      </w:r>
    </w:p>
    <w:p>
      <w:pPr>
        <w:spacing w:after="120"/>
        <w:ind w:firstLine="709"/>
      </w:pPr>
      <w:r>
        <w:rPr>
          <w:sz w:val="24"/>
        </w:rPr>
        <w:t xml:space="preserve">2. Обязанность, установленная пунктом 1 настоящей статьи, наступает при одновременном выполнении следующих условий:</w:t>
      </w:r>
    </w:p>
    <w:p>
      <w:pPr>
        <w:spacing w:after="120"/>
        <w:ind w:firstLine="709"/>
      </w:pPr>
      <w:r>
        <w:rPr>
          <w:sz w:val="24"/>
        </w:rPr>
        <w:t xml:space="preserve">1) международная группа компаний, указанная в пункте 1 настоящей статьи, соответствует одновременно следующим условиям:</w:t>
      </w:r>
    </w:p>
    <w:p>
      <w:pPr>
        <w:spacing w:after="120"/>
        <w:ind w:firstLine="709"/>
      </w:pPr>
      <w:r>
        <w:rPr>
          <w:sz w:val="24"/>
        </w:rPr>
        <w:t xml:space="preserve">материнская компания этой международной группы компаний по состоянию на 31 декабря соответствующего налогового периода, за который определяется налоговая база для целей настоящей статьи, является налоговым резидентом иностранного государства;</w:t>
      </w:r>
    </w:p>
    <w:p>
      <w:pPr>
        <w:spacing w:after="120"/>
        <w:ind w:firstLine="709"/>
      </w:pPr>
      <w:r>
        <w:rPr>
          <w:sz w:val="24"/>
        </w:rPr>
        <w:t xml:space="preserve">материнская компания и (или) промежуточные холдинговые компании этой международной группы компаний по состоянию на 31 декабря соответствующего налогового периода, за который определяется налоговая база для целей настоящей статьи, являются налоговыми резидентами государств (территорий), входящих в перечень государств (территорий), законодательством которых предусмотрены правила минимального эффективного уровня налогообложения в соответствии с Модельными правилами, разработанными Организацией экономического сотрудничества и развития и устанавливающими глобальный минимальный уровень налогообложения для международных групп компаний, либо в состав этой международной группы компаний входит хотя бы один участник, являющийся налоговым резидентом государств (территорий), входящих в перечень государств (территорий), законодательством которых предусмотрены правила экстерриториального налогообложения в соответствии с Модельными правилами, разработанными Организацией экономического сотрудничества и развития и устанавливающими глобальный минимальный уровень налогообложения для международных групп компаний. Перечни, указанные в настоящем абзаце, утверждаются Министерством финансов Российской Федерации;</w:t>
      </w:r>
    </w:p>
    <w:p>
      <w:pPr>
        <w:spacing w:after="120"/>
        <w:ind w:firstLine="709"/>
      </w:pPr>
      <w:r>
        <w:rPr>
          <w:sz w:val="24"/>
        </w:rPr>
        <w:t xml:space="preserve">сумма дохода (выручки) международной группы компаний в соответствии с консолидированной финансовой отчетностью в течение каждого из двух финансовых годов, непосредственно предшествующих налоговому периоду, за который определяется налоговая база для целей настоящей статьи, превышает или может превышать (в случае, если бы составлялась консолидированная финансовая отчетность) сумму, выраженную в российских рублях и эквивалентную 750 миллионам евро. Сумма дохода (выручки), выраженная в иностранной валюте, пересчитывается в рубли с применением среднего курса этой иностранной валюты к рублю Российской Федерации (либо по кросс-курсу), установленного Центральным банком Российской Федерации за последний месяц соответствующего календарного года, непосредственно предшествующего налоговому периоду. Если материнская компания международной группы компаний не составляет консолидированную финансовую отчетность или не предоставляет ее налоговому органу в соответствии с положениями статьи 105.16-7 настоящего Кодекса и (или) участнику, используются данные индивидуальной бухгалтерской (финансовой) отчетности участников соответствующей международной группы компаний, составленной в соответствии с их личным законом;</w:t>
      </w:r>
    </w:p>
    <w:p>
      <w:pPr>
        <w:spacing w:after="120"/>
        <w:ind w:firstLine="709"/>
      </w:pPr>
      <w:r>
        <w:rPr>
          <w:sz w:val="24"/>
        </w:rPr>
        <w:t xml:space="preserve">2) отношение совокупности сумм налога, исчисленных без учета положений настоящей статьи участником по итогам налогового периода (за исключением суммы налога, исчисленной в отношении налоговой базы от долевого участия в других организациях) и скорректированных с учетом положений пункта 3 настоящей статьи, к налоговой базе по налогу на прибыль организаций, определяемой участником в соответствии с положениями пункта 1.1 статьи 274 настоящего Кодекса, составляет положительную величину менее 0,15 (далее в настоящей статье - коэффициент налоговой нагрузки).</w:t>
      </w:r>
    </w:p>
    <w:p>
      <w:pPr>
        <w:spacing w:after="120"/>
        <w:ind w:firstLine="709"/>
      </w:pPr>
      <w:r>
        <w:rPr>
          <w:sz w:val="24"/>
        </w:rPr>
        <w:t xml:space="preserve">3. В целях расчета коэффициента налоговой нагрузки налогоплательщик - участник международной группы компаний должен исчислить разницы между соответствующими доходами и расходами, указанными в абзаце втором пункта 1.1 статьи 274 настоящего Кодекса, в порядке, предусмотренном настоящей главой для исчисления налоговой базы по налогу, и применить к ним налоговые ставки, предусмотренные настоящей главой (исчислить условный налог). Если расходы, учитываемые при определении соответствующей разницы, больше, чем доходы, то условный налог исчисляется в том же порядке и признается отрицательной величиной.</w:t>
      </w:r>
    </w:p>
    <w:p>
      <w:pPr>
        <w:spacing w:after="120"/>
        <w:ind w:firstLine="709"/>
      </w:pPr>
      <w:r>
        <w:rPr>
          <w:sz w:val="24"/>
        </w:rPr>
        <w:t xml:space="preserve">Условный налог вычитается из совокупности сумм налога, исчисленных налогоплательщиком - участником международной группы компаний по итогам налогового периода, используемой им при определении коэффициента налоговой нагрузки в соответствии с подпунктом 2 пункта 2 настоящей статьи.</w:t>
      </w:r>
    </w:p>
    <w:p>
      <w:pPr>
        <w:spacing w:after="120"/>
        <w:ind w:firstLine="709"/>
      </w:pPr>
      <w:r>
        <w:rPr>
          <w:sz w:val="24"/>
        </w:rPr>
        <w:t xml:space="preserve">4. При выполнении условий, установленных пунктом 2 настоящей статьи, участник вместо налога, исчисленного за налоговый период в соответствии с положениями настоящей главы (без учета положений настоящей статьи) (за исключением суммы налога, исчисленной в отношении налоговой базы от долевого участия в других организациях, и сумм налога, исчисленных в отношении прибыли по доходам, указанным в абзаце втором пункта 1.1 статьи 274 настоящего Кодекса), исчисляет налог как соответствующую налоговой ставке, предусмотренной пунктом 1.20 статьи 284 настоящего Кодекса, процентную долю налоговой базы, определяемой в соответствии с пунктом 1.1 статьи 274 настоящего Кодекса.</w:t>
      </w:r>
    </w:p>
    <w:p>
      <w:pPr>
        <w:spacing w:after="120"/>
        <w:ind w:firstLine="709"/>
      </w:pPr>
      <w:r>
        <w:rPr>
          <w:sz w:val="24"/>
        </w:rPr>
        <w:t xml:space="preserve">5. Сумма налога, исчисленная по правилам настоящей статьи и подлежащая уплате в бюджет, определяется с учетом ранее начисленных сумм авансовых платежей по налогу, исчисленных в соответствии с положениями настоящей главы и подлежащих уплате в текущем налоговом периоде участником (за исключением суммы налога, исчисленной в отношении налоговой базы от долевого участия участника в других организациях, и сумм налога, исчисленных в отношении прибыли по доходам, указанным в абзаце втором пункта 1.1 статьи 274 настоящего Кодекса).</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НК РФ, часть вторая, ст. 288.5</dc:title>
  <dc:creator>АРБИТРАЖ! · arbi.ru</dc:creator>
  <cp:lastModifiedBy>АРБИТРАЖ!</cp:lastModifiedBy>
  <dcterms:created xsi:type="dcterms:W3CDTF">2026-10-22T20:21:29.720Z</dcterms:created>
</cp:coreProperties>
</file>