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290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налогам. Вопросы применения ст. 290 НК РФ</w:t>
      </w:r>
    </w:p>
    <w:p>
      <w:pPr>
        <w:spacing w:after="120"/>
        <w:ind w:firstLine="709"/>
      </w:pPr>
      <w:r>
        <w:rPr>
          <w:sz w:val="24"/>
        </w:rPr>
        <w:t xml:space="preserve">- К каким доходам банка (связанным с производством и реализацией или внереализационным) относятся поступления от банковской деятельности</w:t>
      </w:r>
    </w:p>
    <w:p>
      <w:pPr>
        <w:spacing w:after="120"/>
        <w:ind w:firstLine="709"/>
      </w:pPr>
      <w:r>
        <w:rPr>
          <w:sz w:val="24"/>
        </w:rPr>
        <w:t xml:space="preserve">1. К доходам банков, кроме доходов, предусмотренных статьями 249 и 250 настоящего Кодекса, относятся также доходы от банковской деятельности, предусмотренные настоящей статьей. При этом доходы, предусмотренные статьями 249 и 250 настоящего Кодекса, определяются с учетом особенностей, предусмотренных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2. К доходам банков в целях настоящей главы относятся, в частности, следующие доходы от осуществления банковской деятельности:</w:t>
      </w:r>
    </w:p>
    <w:p>
      <w:pPr>
        <w:spacing w:after="120"/>
        <w:ind w:firstLine="709"/>
      </w:pPr>
      <w:r>
        <w:rPr>
          <w:sz w:val="24"/>
        </w:rPr>
        <w:t xml:space="preserve">1) в виде процентов от размещения банком от своего имени и за свой счет денежных средств, предоставления кредитов и займов;</w:t>
      </w:r>
    </w:p>
    <w:p>
      <w:pPr>
        <w:spacing w:after="120"/>
        <w:ind w:firstLine="709"/>
      </w:pPr>
      <w:r>
        <w:rPr>
          <w:sz w:val="24"/>
        </w:rPr>
        <w:t xml:space="preserve">2) в виде платы за открытие и ведение банковских счетов клиентов, в том числе банков-корреспондентов (включая иностранные банки - корреспонденты), и осуществления расчетов по их поручению, включая комиссионное и иное вознаграждение за переводные, инкассовые, аккредитивные и другие операции, оформление и обслуживание платежных карт и иных специальных средств, предназначенных для совершения банковских операций, за предоставление выписок и иных документов по счетам и за розыск сумм;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от инкассации денежных средств, векселей, платежных и расчетных документов и кассового обслуживания клиентов;</w:t>
      </w:r>
    </w:p>
    <w:p>
      <w:pPr>
        <w:spacing w:after="120"/>
        <w:ind w:firstLine="709"/>
      </w:pPr>
      <w:r>
        <w:rPr>
          <w:sz w:val="24"/>
        </w:rPr>
        <w:t xml:space="preserve">4) от проведения операций с иностранной валютой, осуществляемых в наличной и безналичной формах, включая комиссионные сборы (вознаграждения) при операциях по покупке или продаже иностранной валюты, в том числе за счет и по поручению клиента, от операций с валютными ценностями.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Для определения доходов банков от операций продажи (покупки) иностранной валюты в отчетном (налоговом) периоде принимается положительная разница между доходами, определенными в соответствии с пунктом 2 статьи 250 настоящего Кодекса, и расходами, определенными в соответствии с подпунктом 6 пункта 1 статьи 265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по операциям купли-продажи драгоценных металлов в виде положительной (отрицательной) разницы, образующейся вследствие отклонения цены продажи (покупки) драгоценных металлов от учетных цен , установленных Центральным банком Российской Федерации на дату перехода права собственности на драгоценные металлы (на дату отражения по обезличенному металлическому счету операции купли-продажи драгоценных металлов);</w:t>
      </w:r>
    </w:p>
    <w:p>
      <w:pPr>
        <w:spacing w:after="120"/>
        <w:ind w:firstLine="709"/>
      </w:pPr>
      <w:r>
        <w:rPr>
          <w:sz w:val="24"/>
        </w:rPr>
        <w:t xml:space="preserve">(пп. 5 в ред. Федерального закона от 28.11.2015 N 328-ФЗ)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5.1) по операциям купли-продажи драгоценных камней в виде разницы между ценой реализации и учетной стоимостью;</w:t>
      </w:r>
    </w:p>
    <w:p>
      <w:pPr>
        <w:spacing w:after="120"/>
        <w:ind w:firstLine="709"/>
      </w:pPr>
      <w:r>
        <w:rPr>
          <w:sz w:val="24"/>
        </w:rPr>
        <w:t xml:space="preserve">(пп. 5.1 введен Федеральным законом от 28.11.2015 N 328-ФЗ)</w:t>
      </w:r>
    </w:p>
    <w:p>
      <w:pPr>
        <w:spacing w:after="120"/>
        <w:ind w:firstLine="709"/>
      </w:pPr>
      <w:r>
        <w:rPr>
          <w:sz w:val="24"/>
        </w:rPr>
        <w:t xml:space="preserve">6) исключен. - Федеральный закон от 29.05.2002 N 57-ФЗ;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6 ) от операций по предоставлению банковских гарантий, авалей и поручительств за третьих лиц, предусматривающих исполнение в денежной форме;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7 ) в виде положительной разницы между полученной при прекращении или реализации (последующей уступке) права требования (в том числе ранее приобретенного) суммой средств и учетной стоимостью данного права требования;</w:t>
      </w:r>
    </w:p>
    <w:p>
      <w:pPr>
        <w:spacing w:after="120"/>
        <w:ind w:firstLine="709"/>
      </w:pPr>
      <w:r>
        <w:rPr>
          <w:sz w:val="24"/>
        </w:rPr>
        <w:t xml:space="preserve">8 ) от депозитарного обслуживания клиентов;</w:t>
      </w:r>
    </w:p>
    <w:p>
      <w:pPr>
        <w:spacing w:after="120"/>
        <w:ind w:firstLine="709"/>
      </w:pPr>
      <w:r>
        <w:rPr>
          <w:sz w:val="24"/>
        </w:rPr>
        <w:t xml:space="preserve">9 ) от предоставления в аренду специально оборудованных помещений или сейфов для хранения документов и ценностей;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10 ) в виде платы за доставку, перевозку денежных средств, ценных бумаг, иных ценностей и банковских документов (кроме инкассации);</w:t>
      </w:r>
    </w:p>
    <w:p>
      <w:pPr>
        <w:spacing w:after="120"/>
        <w:ind w:firstLine="709"/>
      </w:pPr>
      <w:r>
        <w:rPr>
          <w:sz w:val="24"/>
        </w:rPr>
        <w:t xml:space="preserve">11 ) в виде платы за перевозку и хранение драгоценных металлов и драгоценных камней;</w:t>
      </w:r>
    </w:p>
    <w:p>
      <w:pPr>
        <w:spacing w:after="120"/>
        <w:ind w:firstLine="709"/>
      </w:pPr>
      <w:r>
        <w:rPr>
          <w:sz w:val="24"/>
        </w:rPr>
        <w:t xml:space="preserve">12 ) в виде платы, получаемой банком от экспортеров и импортеров, за выполнение функций агентов валютного контроля;</w:t>
      </w:r>
    </w:p>
    <w:p>
      <w:pPr>
        <w:spacing w:after="120"/>
        <w:ind w:firstLine="709"/>
      </w:pPr>
      <w:r>
        <w:rPr>
          <w:sz w:val="24"/>
        </w:rPr>
        <w:t xml:space="preserve">13 ) по операциям купли-продажи коллекционных монет в виде разницы между ценой реализации и ценой приобретения;</w:t>
      </w:r>
    </w:p>
    <w:p>
      <w:pPr>
        <w:spacing w:after="120"/>
        <w:ind w:firstLine="709"/>
      </w:pPr>
      <w:r>
        <w:rPr>
          <w:sz w:val="24"/>
        </w:rPr>
        <w:t xml:space="preserve">14 ) в виде сумм, полученных банком по возвращенным кредитам (ссудам), убытки от списания которых были ранее учтены в составе расходов, уменьшивших налоговую базу, либо списанных за счет созданных резервов, отчисления на создание которых ранее уменьшали налоговую базу;</w:t>
      </w:r>
    </w:p>
    <w:p>
      <w:pPr>
        <w:spacing w:after="120"/>
        <w:ind w:firstLine="709"/>
      </w:pPr>
      <w:r>
        <w:rPr>
          <w:sz w:val="24"/>
        </w:rPr>
        <w:t xml:space="preserve">15 ) в виде полученной банком компенсации понесенных расходов по оплате услуг сторонних организаций по контролю за соответствием стандартам слитков драгоценных металлов, получаемых банком у физических и юридических лиц;</w:t>
      </w:r>
    </w:p>
    <w:p>
      <w:pPr>
        <w:spacing w:after="120"/>
        <w:ind w:firstLine="709"/>
      </w:pPr>
      <w:r>
        <w:rPr>
          <w:sz w:val="24"/>
        </w:rPr>
        <w:t xml:space="preserve">16 ) от осуществления форфейтинговых и факторинговых операций;</w:t>
      </w:r>
    </w:p>
    <w:p>
      <w:pPr>
        <w:spacing w:after="120"/>
        <w:ind w:firstLine="709"/>
      </w:pPr>
      <w:r>
        <w:rPr>
          <w:sz w:val="24"/>
        </w:rPr>
        <w:t xml:space="preserve">17) от оказания услуг, связанных с установкой и эксплуатацией электронных систем документооборота между банком и клиентами, в том числе систем "клиент-банк";</w:t>
      </w:r>
    </w:p>
    <w:p>
      <w:pPr>
        <w:spacing w:after="120"/>
        <w:ind w:firstLine="709"/>
      </w:pPr>
      <w:r>
        <w:rPr>
          <w:sz w:val="24"/>
        </w:rPr>
        <w:t xml:space="preserve">(пп. 17 введен Федеральным законом от 29.05.2002 N 57-ФЗ)</w:t>
      </w:r>
    </w:p>
    <w:p>
      <w:pPr>
        <w:spacing w:after="120"/>
        <w:ind w:firstLine="709"/>
      </w:pPr>
      <w:r>
        <w:rPr>
          <w:sz w:val="24"/>
        </w:rPr>
        <w:t xml:space="preserve">18) в виде комиссионных сборов (вознаграждений) при проведении операций с валютными ценностями;</w:t>
      </w:r>
    </w:p>
    <w:p>
      <w:pPr>
        <w:spacing w:after="120"/>
        <w:ind w:firstLine="709"/>
      </w:pPr>
      <w:r>
        <w:rPr>
          <w:sz w:val="24"/>
        </w:rPr>
        <w:t xml:space="preserve">(пп. 18 введен Федеральным законом от 29.05.2002 N 57-ФЗ)</w:t>
      </w:r>
    </w:p>
    <w:p>
      <w:pPr>
        <w:spacing w:after="120"/>
        <w:ind w:firstLine="709"/>
      </w:pPr>
      <w:r>
        <w:rPr>
          <w:sz w:val="24"/>
        </w:rPr>
        <w:t xml:space="preserve">19) в виде положительной переоценки драгоценных металлов и требований (обязательств), выраженных в драгоценных металлах, осуществляемой в порядке, установленном нормативными актами Центрального банка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(пп. 19 в ред. Федерального закона от 28.11.2015 N 328-ФЗ)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20) в виде сумм восстановленного резерва на возможные потери по ссудам, расходы на формирование которого были приняты в составе расходов в порядке и на условиях, которые установлены статьей 292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(пп. 20 введен Федеральным законом от 29.05.2002 N 57-ФЗ)</w:t>
      </w:r>
    </w:p>
    <w:p>
      <w:pPr>
        <w:spacing w:after="120"/>
        <w:ind w:firstLine="709"/>
      </w:pPr>
      <w:r>
        <w:rPr>
          <w:sz w:val="24"/>
        </w:rPr>
        <w:t xml:space="preserve">21) в виде сумм восстановленных резервов под обесценение ценных бумаг, расходы на формирование которых были приняты в составе расходов в порядке и на условиях, которые установлены статьей 300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(пп. 21 введен Федеральным законом от 29.05.2002 N 57-ФЗ)</w:t>
      </w:r>
    </w:p>
    <w:p>
      <w:pPr>
        <w:spacing w:after="120"/>
        <w:ind w:firstLine="709"/>
      </w:pPr>
      <w:r>
        <w:rPr>
          <w:sz w:val="24"/>
        </w:rPr>
        <w:t xml:space="preserve">22 ) другие доходы, связанные с банковской деятельностью.</w:t>
      </w:r>
    </w:p>
    <w:p>
      <w:pPr>
        <w:spacing w:after="120"/>
        <w:ind w:firstLine="709"/>
      </w:pPr>
      <w:r>
        <w:rPr>
          <w:sz w:val="24"/>
        </w:rPr>
        <w:t xml:space="preserve">3. Не включаются в доходы банка суммы положительной переоценки средств в иностранной валюте, поступивших в оплату уставных капиталов банков, а также страховые выплаты, полученные по договорам страхования на случай смерти или наступления инвалидности заемщика банка, страховые выплаты, полученные по договорам страхования имущества, являющегося обеспечением обязательств заемщика (залогом), в пределах суммы непогашенной задолженности заемщика по заемным (кредитным) средствам, начисленным процентам и признанным судом штрафным санкциям, пеням, погашаемой (прощаемой) банком за счет указанных страховых выплат.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27.07.2010 N 229-ФЗ)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290</dc:title>
  <dc:creator>АРБИТРАЖ! · arbi.ru</dc:creator>
  <cp:lastModifiedBy>АРБИТРАЖ!</cp:lastModifiedBy>
  <dcterms:created xsi:type="dcterms:W3CDTF">2026-10-23T00:44:17.902Z</dcterms:created>
</cp:coreProperties>
</file>