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расходам банка, кроме расходов, предусмотренных статьями 254 - 269 настоящего Кодекса, относятся также расходы, понесенные при осуществлении банковской деятельности, предусмотренные настоящей статьей. При этом расходы, предусмотренные статьями 254 - 269 настоящего Кодекса, определяются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 расходам банков в целях настоящей главы относятся расходы, понесенные при осуществлении банковской деятельности, в частности, следующие виды расходов:</w:t>
      </w:r>
    </w:p>
    <w:p>
      <w:pPr>
        <w:spacing w:after="120"/>
        <w:ind w:firstLine="709"/>
      </w:pPr>
      <w:r>
        <w:rPr>
          <w:sz w:val="24"/>
        </w:rPr>
        <w:t xml:space="preserve">1) проценты по:</w:t>
      </w:r>
    </w:p>
    <w:p>
      <w:pPr>
        <w:spacing w:after="120"/>
        <w:ind w:firstLine="709"/>
      </w:pPr>
      <w:r>
        <w:rPr>
          <w:sz w:val="24"/>
        </w:rPr>
        <w:t xml:space="preserve">договорам банковского вклада (депозита) и прочим привлеченным денежным средствам физических и юридических лиц (включая банки-корреспонденты), в том числе иностранные, в том числе за использование денежных средств, находящихся на банковских счетах;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собственным долговым обязательствам (облигациям, депозитным или сберегательным сертификатам, векселям, займам или другим обязательствам);</w:t>
      </w:r>
    </w:p>
    <w:p>
      <w:pPr>
        <w:spacing w:after="120"/>
        <w:ind w:firstLine="709"/>
      </w:pPr>
      <w:r>
        <w:rPr>
          <w:sz w:val="24"/>
        </w:rPr>
        <w:t xml:space="preserve">межбанковским кредитам, включая овердрафт;</w:t>
      </w:r>
    </w:p>
    <w:p>
      <w:pPr>
        <w:spacing w:after="120"/>
        <w:ind w:firstLine="709"/>
      </w:pPr>
      <w:r>
        <w:rPr>
          <w:sz w:val="24"/>
        </w:rPr>
        <w:t xml:space="preserve">приобретенным кредитам рефинансирования, включая приобретенные на аукционной основе в порядке , установленном Центральным банком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займам и вкладам (депозитам) в драгоценных металлах;</w:t>
      </w:r>
    </w:p>
    <w:p>
      <w:pPr>
        <w:spacing w:after="120"/>
        <w:ind w:firstLine="709"/>
      </w:pPr>
      <w:r>
        <w:rPr>
          <w:sz w:val="24"/>
        </w:rPr>
        <w:t xml:space="preserve">иным обязательствам банков перед клиентами, в том числе по средствам, депонированным клиентами для расчетов по аккредитивам.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Проценты, начисленные в соответствии с настоящим пунктом, по межбанковским кредитам (депозитам) со сроком до 7 дней (включительно) учитываются при определении налоговой базы исходя из фактического срока действия договоров;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суммы отчислений в резерв на возможные потери по ссудам, подлежащим резервированию в порядке, установленном статьей 292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3 ) комиссионные сборы за услуги по корреспондентским отношениям, включая расходы по расчетно-кассовому обслуживанию клиентов, открытию им счетов в других банках, плату другим банкам (в том числе иностранным) за расчетно-кассовое обслуживание этих счетов, расчетные услуги Центрального банка Российской Федерации, инкассацию денежных средств, ценных бумаг, платежных документов и иные аналогичные расходы;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4 ) расходы (убытки) от проведения операций с иностранной валютой, осуществляемых в наличной и безналичной формах, включая комиссионные сборы (вознаграждения) при операциях по покупке или продаже иностранной валюты, в том числе за счет и по поручению клиента, от операций с валютными ценностями и расходы по управлению и защите от валютных рисков.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определения расходов банков от операций продажи (покупки) иностранной валюты в отчетном (налоговом) периоде принимается отрицательная разница между доходами, определенными в соответствии с пунктом 2 статьи 250 настоящего Кодекса, и расходами, определенными в соответствии с подпунктом 6 пункта 1 статьи 265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5 ) по операциям купли-продажи драгоценных металлов в виде отрицательной (положительной) разницы, образующейся вследствие отклонения цены продажи (покупки) драгоценных металлов от учетных цен , установленных Центральным банком Российской Федерации на дату перехода права собственности на драгоценные металлы (на дату отражения по обезличенному металлическому счету операции купли-продажи драгоценных металлов);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28.11.2015 N 328-ФЗ)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убытки по операциям купли-продажи драгоценных камней в виде разницы между ценой реализации и учетной стоимостью;</w:t>
      </w:r>
    </w:p>
    <w:p>
      <w:pPr>
        <w:spacing w:after="120"/>
        <w:ind w:firstLine="709"/>
      </w:pPr>
      <w:r>
        <w:rPr>
          <w:sz w:val="24"/>
        </w:rPr>
        <w:t xml:space="preserve">(пп. 5.1 введен Федеральным законом от 28.11.2015 N 328-ФЗ)</w:t>
      </w:r>
    </w:p>
    <w:p>
      <w:pPr>
        <w:spacing w:after="120"/>
        <w:ind w:firstLine="709"/>
      </w:pPr>
      <w:r>
        <w:rPr>
          <w:sz w:val="24"/>
        </w:rPr>
        <w:t xml:space="preserve">7)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6 ) расходы банка по хранению, транспортировке, контролю за соответствием стандартам качества драгоценных металлов в слитках и монете, расходы по аффинажу драгоценных металлов, а также иные расходы, связанные с проведением операций со слитками драгоценных металлов и монетой, содержащей драгоценные металлы;</w:t>
      </w:r>
    </w:p>
    <w:p>
      <w:pPr>
        <w:spacing w:after="120"/>
        <w:ind w:firstLine="709"/>
      </w:pPr>
      <w:r>
        <w:rPr>
          <w:sz w:val="24"/>
        </w:rPr>
        <w:t xml:space="preserve">7 ) расходы по переводу пенсий и пособий, а также расходы по переводу денежных средств без открытия счетов физическим лицам;</w:t>
      </w:r>
    </w:p>
    <w:p>
      <w:pPr>
        <w:spacing w:after="120"/>
        <w:ind w:firstLine="709"/>
      </w:pPr>
      <w:r>
        <w:rPr>
          <w:sz w:val="24"/>
        </w:rPr>
        <w:t xml:space="preserve">8 ) расходы по изготовлению и внедрению платежно-расчетных средств (пластиковых карточек, дорожных чеков и иных платежно-расчетных средств);</w:t>
      </w:r>
    </w:p>
    <w:p>
      <w:pPr>
        <w:spacing w:after="120"/>
        <w:ind w:firstLine="709"/>
      </w:pPr>
      <w:r>
        <w:rPr>
          <w:sz w:val="24"/>
        </w:rPr>
        <w:t xml:space="preserve">9 ) суммы, уплачиваемые за инкассацию банкнот, монет, чеков и других расчетно-платежных документов, а также расходы по упаковке (включая комплектование наличных денег), перевозке, пересылке и (или) доставке принадлежащих кредитной организации или ее клиентам ценностей;</w:t>
      </w:r>
    </w:p>
    <w:p>
      <w:pPr>
        <w:spacing w:after="120"/>
        <w:ind w:firstLine="709"/>
      </w:pPr>
      <w:r>
        <w:rPr>
          <w:sz w:val="24"/>
        </w:rPr>
        <w:t xml:space="preserve">10 ) расходы по ремонту и (или) реставрации инкассаторских сумок, мешков и иного инвентаря, связанных с инкассацией денег, перевозкой и хранением ценностей, а также приобретению новых и замене пришедших в негодность сумок и мешков;</w:t>
      </w:r>
    </w:p>
    <w:p>
      <w:pPr>
        <w:spacing w:after="120"/>
        <w:ind w:firstLine="709"/>
      </w:pPr>
      <w:r>
        <w:rPr>
          <w:sz w:val="24"/>
        </w:rPr>
        <w:t xml:space="preserve">11 ) расходы, связанные с уплатой сбора за государственную регистрацию ипотеки и внесением изменений и дополнений в регистрационную запись об ипотеке, а также с нотариальным удостоверением договора об ипотеке;</w:t>
      </w:r>
    </w:p>
    <w:p>
      <w:pPr>
        <w:spacing w:after="120"/>
        <w:ind w:firstLine="709"/>
      </w:pPr>
      <w:r>
        <w:rPr>
          <w:sz w:val="24"/>
        </w:rPr>
        <w:t xml:space="preserve">12 ) расходы по аренде автомобильного транспорта для инкассации выручки и перевозке банковских документов и ценностей;</w:t>
      </w:r>
    </w:p>
    <w:p>
      <w:pPr>
        <w:spacing w:after="120"/>
        <w:ind w:firstLine="709"/>
      </w:pPr>
      <w:r>
        <w:rPr>
          <w:sz w:val="24"/>
        </w:rPr>
        <w:t xml:space="preserve">13 ) расходы по аренде брокерских мест;</w:t>
      </w:r>
    </w:p>
    <w:p>
      <w:pPr>
        <w:spacing w:after="120"/>
        <w:ind w:firstLine="709"/>
      </w:pPr>
      <w:r>
        <w:rPr>
          <w:sz w:val="24"/>
        </w:rPr>
        <w:t xml:space="preserve">14 ) расходы по оплате услуг расчетно-кассовых и вычислительных центров;</w:t>
      </w:r>
    </w:p>
    <w:p>
      <w:pPr>
        <w:spacing w:after="120"/>
        <w:ind w:firstLine="709"/>
      </w:pPr>
      <w:r>
        <w:rPr>
          <w:sz w:val="24"/>
        </w:rPr>
        <w:t xml:space="preserve">15 ) расходы, связанные с осуществлением форфейтинговых и факторинговых операций;</w:t>
      </w:r>
    </w:p>
    <w:p>
      <w:pPr>
        <w:spacing w:after="120"/>
        <w:ind w:firstLine="709"/>
      </w:pPr>
      <w:r>
        <w:rPr>
          <w:sz w:val="24"/>
        </w:rPr>
        <w:t xml:space="preserve">16 ) расходы по гарантиям, поручительствам, акцептам и авалям, предоставляемым банку другими организациями;</w:t>
      </w:r>
    </w:p>
    <w:p>
      <w:pPr>
        <w:spacing w:after="120"/>
        <w:ind w:firstLine="709"/>
      </w:pPr>
      <w:r>
        <w:rPr>
          <w:sz w:val="24"/>
        </w:rPr>
        <w:t xml:space="preserve">17) комиссионные сборы (вознаграждения) за проведение операций с валютными ценностями, в том числе за счет и по поручению клиентов;</w:t>
      </w:r>
    </w:p>
    <w:p>
      <w:pPr>
        <w:spacing w:after="120"/>
        <w:ind w:firstLine="709"/>
      </w:pPr>
      <w:r>
        <w:rPr>
          <w:sz w:val="24"/>
        </w:rPr>
        <w:t xml:space="preserve">(пп. 17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18) в виде отрицательной переоценки драгоценных металлов и требований (обязательств), выраженных в драгоценных металлах, осуществляемой в порядке, установленном нормативными актами Центрального банка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18 в ред. Федерального закона от 28.11.2015 N 328-ФЗ)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суммы отчислений в резерв на возможные потери по ссудам, расходы на формирование которого учитываются в составе расходов в порядке и на условиях, которые установлены статьей 292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19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20) суммы отчислений в резервы под обесценение ценных бумаг, расходы на формирование которых учитываются в составе расходов в порядке и на условиях, которые установлены статьей 300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20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20.1) суммы страховых взносов банков, установленных в соответствии с федеральным законом о страховании вкладов физических лиц в банках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20.1 введен Федеральным законом от 23.12.2003 N 178-ФЗ)</w:t>
      </w:r>
    </w:p>
    <w:p>
      <w:pPr>
        <w:spacing w:after="120"/>
        <w:ind w:firstLine="709"/>
      </w:pPr>
      <w:r>
        <w:rPr>
          <w:sz w:val="24"/>
        </w:rPr>
        <w:t xml:space="preserve">20.2) суммы страховых взносов по договорам страхования на случай смерти или наступления инвалидности заемщика банка, в которых банк является выгодоприобретателем, при условии компенсации данных расходов заемщиками;</w:t>
      </w:r>
    </w:p>
    <w:p>
      <w:pPr>
        <w:spacing w:after="120"/>
        <w:ind w:firstLine="709"/>
      </w:pPr>
      <w:r>
        <w:rPr>
          <w:sz w:val="24"/>
        </w:rPr>
        <w:t xml:space="preserve">(пп. 20.2 введен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21 ) другие расходы, связанные с банковской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Не включаются в расходы банка суммы отрицательной переоценки средств в иностранной валюте, поступивших в оплату уставных капиталов кредитных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291</dc:title>
  <dc:creator>АРБИТРАЖ! · arbi.ru</dc:creator>
  <cp:lastModifiedBy>АРБИТРАЖ!</cp:lastModifiedBy>
  <dcterms:created xsi:type="dcterms:W3CDTF">2026-10-22T13:13:35.094Z</dcterms:created>
</cp:coreProperties>
</file>