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293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 Налог на прибыль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К доходам страховой организации, кроме доходов, предусмотренных статьями 249 и 250 настоящего Кодекса, которые определяются с учетом особенностей, предусмотренных настоящей статьей, относятся также доходы от страховой деятельности.</w:t>
      </w:r>
    </w:p>
    <w:p>
      <w:pPr>
        <w:spacing w:after="120"/>
        <w:ind w:firstLine="709"/>
      </w:pPr>
      <w:r>
        <w:rPr>
          <w:sz w:val="24"/>
        </w:rPr>
        <w:t xml:space="preserve">2. К доходам страховых организаций в целях настоящей главы относятся следующие доходы от осуществления страховой деятельности:</w:t>
      </w:r>
    </w:p>
    <w:p>
      <w:pPr>
        <w:spacing w:after="120"/>
        <w:ind w:firstLine="709"/>
      </w:pPr>
      <w:r>
        <w:rPr>
          <w:sz w:val="24"/>
        </w:rPr>
        <w:t xml:space="preserve">1) страховые премии (взносы) по договорам страхования, сострахования и перестрахования. При этом страховые премии (взносы) по договорам сострахования включаются в состав доходов страховщика (состраховщика) только в размере его доли страховой премии, установленной в договоре сострахования;</w:t>
      </w:r>
    </w:p>
    <w:p>
      <w:pPr>
        <w:spacing w:after="120"/>
        <w:ind w:firstLine="709"/>
      </w:pPr>
      <w:r>
        <w:rPr>
          <w:sz w:val="24"/>
        </w:rPr>
        <w:t xml:space="preserve">2) суммы уменьшения (возврата) страховых резервов, образованных в предыдущие отчетные периоды с учетом изменения доли перестраховщиков в страховых резервах;</w:t>
      </w:r>
    </w:p>
    <w:p>
      <w:pPr>
        <w:spacing w:after="120"/>
        <w:ind w:firstLine="709"/>
      </w:pPr>
      <w:r>
        <w:rPr>
          <w:sz w:val="24"/>
        </w:rPr>
        <w:t xml:space="preserve">3) вознаграждения и тантьемы (форма вознаграждения страховщика со стороны перестраховщика) по договорам перестрахования;</w:t>
      </w:r>
    </w:p>
    <w:p>
      <w:pPr>
        <w:spacing w:after="120"/>
        <w:ind w:firstLine="709"/>
      </w:pPr>
      <w:r>
        <w:rPr>
          <w:sz w:val="24"/>
        </w:rPr>
        <w:t xml:space="preserve">4) вознаграждения от страховщиков по договорам сострахования;</w:t>
      </w:r>
    </w:p>
    <w:p>
      <w:pPr>
        <w:spacing w:after="120"/>
        <w:ind w:firstLine="709"/>
      </w:pPr>
      <w:r>
        <w:rPr>
          <w:sz w:val="24"/>
        </w:rPr>
        <w:t xml:space="preserve">5) суммы возмещения перестраховщиками доли страховых выплат по рискам, переданным в перестрахование;</w:t>
      </w:r>
    </w:p>
    <w:p>
      <w:pPr>
        <w:spacing w:after="120"/>
        <w:ind w:firstLine="709"/>
      </w:pPr>
      <w:r>
        <w:rPr>
          <w:sz w:val="24"/>
        </w:rPr>
        <w:t xml:space="preserve">6) суммы процентов на депо премий по рискам, принятым в перестрахование;</w:t>
      </w:r>
    </w:p>
    <w:p>
      <w:pPr>
        <w:spacing w:after="120"/>
        <w:ind w:firstLine="709"/>
      </w:pPr>
      <w:r>
        <w:rPr>
          <w:sz w:val="24"/>
        </w:rPr>
        <w:t xml:space="preserve">7) доходы от реализации перешедшего к страховщику в соответствии с действующим законодательством права требования страхователя (выгодоприобретателя) к лицам, ответственным за причиненный ущерб;</w:t>
      </w:r>
    </w:p>
    <w:p>
      <w:pPr>
        <w:spacing w:after="120"/>
        <w:ind w:firstLine="709"/>
      </w:pPr>
      <w:r>
        <w:rPr>
          <w:sz w:val="24"/>
        </w:rPr>
        <w:t xml:space="preserve">8) суммы санкций за неисполнение условий договоров страхования, признанные должником добровольно либо по решению суда;</w:t>
      </w:r>
    </w:p>
    <w:p>
      <w:pPr>
        <w:spacing w:after="120"/>
        <w:ind w:firstLine="709"/>
      </w:pPr>
      <w:r>
        <w:rPr>
          <w:sz w:val="24"/>
        </w:rPr>
        <w:t xml:space="preserve">(пп. 8 в ред. Федерального закона от 29.05.2002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9) вознаграждения за оказание услуг страхового агента, брокера;</w:t>
      </w:r>
    </w:p>
    <w:p>
      <w:pPr>
        <w:spacing w:after="120"/>
        <w:ind w:firstLine="709"/>
      </w:pPr>
      <w:r>
        <w:rPr>
          <w:sz w:val="24"/>
        </w:rPr>
        <w:t xml:space="preserve">10) вознаграждения, полученные страховщиком за оказание услуг сюрвейера (осмотр принимаемого в страхование имущества и выдачу заключений об оценке страхового риска) и аварийного комиссара (определение причин, характера и размеров убытков при страховом событии);</w:t>
      </w:r>
    </w:p>
    <w:p>
      <w:pPr>
        <w:spacing w:after="120"/>
        <w:ind w:firstLine="709"/>
      </w:pPr>
      <w:r>
        <w:rPr>
          <w:sz w:val="24"/>
        </w:rPr>
        <w:t xml:space="preserve">11) суммы возврата части страховых премий (взносов) по договорам перестрахования в случае их досрочного прекращения;</w:t>
      </w:r>
    </w:p>
    <w:p>
      <w:pPr>
        <w:spacing w:after="120"/>
        <w:ind w:firstLine="709"/>
      </w:pPr>
      <w:r>
        <w:rPr>
          <w:sz w:val="24"/>
        </w:rPr>
        <w:t xml:space="preserve">(пп. 11 введен Федеральным законом от 29.05.2002 N 57-ФЗ)</w:t>
      </w:r>
    </w:p>
    <w:p>
      <w:pPr>
        <w:spacing w:after="120"/>
        <w:ind w:firstLine="709"/>
      </w:pPr>
      <w:r>
        <w:rPr>
          <w:sz w:val="24"/>
        </w:rPr>
        <w:t xml:space="preserve">11.1) сумма положительной разницы, возникшей у страховщика, осуществившего прямое возмещение убытков, в результате превышения средней суммы страховой выплаты, полученной от страховщика, застраховавшего гражданскую ответственность лица, причинившего вред, над суммой выплаты потерпевшему, осуществленной в порядке прямого возмещения убытков в соответствии с законодательством Российской Федерации об обязательном страховании гражданской ответственности владельцев транспортных средств;</w:t>
      </w:r>
    </w:p>
    <w:p>
      <w:pPr>
        <w:spacing w:after="120"/>
        <w:ind w:firstLine="709"/>
      </w:pPr>
      <w:r>
        <w:rPr>
          <w:sz w:val="24"/>
        </w:rPr>
        <w:t xml:space="preserve">(пп. 11.1 введен Федеральным законом от 15.11.2010 N 300-ФЗ)</w:t>
      </w:r>
    </w:p>
    <w:p>
      <w:pPr>
        <w:spacing w:after="120"/>
        <w:ind w:firstLine="709"/>
      </w:pPr>
      <w:r>
        <w:rPr>
          <w:sz w:val="24"/>
        </w:rPr>
        <w:t xml:space="preserve">11.2) сумма положительной разницы, возникшей у страховщика, застраховавшего гражданскую ответственность лица, причинившего вред, в результате превышения страховой выплаты по договору обязательного страхования гражданской ответственности владельцев транспортных средств, осуществленной в порядке прямого возмещения убытков, над средней суммой страховой выплаты, возмещенной страховщику, осуществившему прямое возмещение убытков в соответствии с законодательством Российской Федерации об обязательном страховании гражданской ответственности владельцев транспортных средств;</w:t>
      </w:r>
    </w:p>
    <w:p>
      <w:pPr>
        <w:spacing w:after="120"/>
        <w:ind w:firstLine="709"/>
      </w:pPr>
      <w:r>
        <w:rPr>
          <w:sz w:val="24"/>
        </w:rPr>
        <w:t xml:space="preserve">(пп. 11.2 введен Федеральным законом от 15.11.2010 N 300-ФЗ)</w:t>
      </w:r>
    </w:p>
    <w:p>
      <w:pPr>
        <w:spacing w:after="120"/>
        <w:ind w:firstLine="709"/>
      </w:pPr>
      <w:r>
        <w:rPr>
          <w:sz w:val="24"/>
        </w:rPr>
        <w:t xml:space="preserve">12 ) другие доходы, полученные при осуществлении страховой деятельности.</w:t>
      </w:r>
    </w:p>
    <w:p>
      <w:pPr>
        <w:spacing w:after="120"/>
        <w:ind w:firstLine="709"/>
      </w:pPr>
      <w:r>
        <w:rPr>
          <w:sz w:val="24"/>
        </w:rPr>
        <w:t xml:space="preserve">3. Особенности, предусмотренные пунктом 1 , подпунктами 1 - 8 , 10 , 11 , 12 пункта 2 настоящей статьи, распространяются на доходы организации, осуществляющей деятельность по страхованию экспортных кредитов и инвестиций от предпринимательских и (или) политических рисков в соответствии с Федеральным законом от 8 декабря 2003 года N 164-ФЗ "Об основах государственного регулирования внешнеторговой деятельности".</w:t>
      </w:r>
    </w:p>
    <w:p>
      <w:pPr>
        <w:spacing w:after="120"/>
        <w:ind w:firstLine="709"/>
      </w:pPr>
      <w:r>
        <w:rPr>
          <w:sz w:val="24"/>
        </w:rPr>
        <w:t xml:space="preserve">(п. 3 введен Федеральным законом от 07.06.2013 N 131-ФЗ; в ред. Федерального закона от 15.04.2019 N 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293</dc:title>
  <dc:creator>АРБИТРАЖ! · arbi.ru</dc:creator>
  <cp:lastModifiedBy>АРБИТРАЖ!</cp:lastModifiedBy>
  <dcterms:created xsi:type="dcterms:W3CDTF">2026-10-22T22:01:30.432Z</dcterms:created>
</cp:coreProperties>
</file>