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299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 расходам профессиональных участников рынка ценных бумаг, кроме расходов, указанных в статьях 254 - 269 настоящего Кодекса (с учетом ограничений, предусмотренных законодательством Российской Федерации о рынке ценных бумаг), относятся, в частности:</w:t>
      </w:r>
    </w:p>
    <w:p>
      <w:pPr>
        <w:spacing w:after="120"/>
        <w:ind w:firstLine="709"/>
      </w:pPr>
      <w:r>
        <w:rPr>
          <w:sz w:val="24"/>
        </w:rPr>
        <w:t xml:space="preserve">1) расходы в виде взносов организаторам торговли и иным организациям (в том числе в соответствии с законодательством Российской Федерации некоммерческим организациям), имеющим соответствующую лицензию;</w:t>
      </w:r>
    </w:p>
    <w:p>
      <w:pPr>
        <w:spacing w:after="120"/>
        <w:ind w:firstLine="709"/>
      </w:pPr>
      <w:r>
        <w:rPr>
          <w:sz w:val="24"/>
        </w:rPr>
        <w:t xml:space="preserve">2) расходы на поддержание и обслуживание торговых мест различного режима, возникающие в связи с осуществлением профессиональной деятельности;</w:t>
      </w:r>
    </w:p>
    <w:p>
      <w:pPr>
        <w:spacing w:after="120"/>
        <w:ind w:firstLine="709"/>
      </w:pPr>
      <w:r>
        <w:rPr>
          <w:sz w:val="24"/>
        </w:rPr>
        <w:t xml:space="preserve">3) расходы на осуществление экспертизы, связанной с подлинностью представляемых документов, в том числе бланков (сертификатов) ценных бумаг;</w:t>
      </w:r>
    </w:p>
    <w:p>
      <w:pPr>
        <w:spacing w:after="120"/>
        <w:ind w:firstLine="709"/>
      </w:pPr>
      <w:r>
        <w:rPr>
          <w:sz w:val="24"/>
        </w:rPr>
        <w:t xml:space="preserve">4) расходы, связанные с раскрытием информации о деятельности профессионального участника рынка ценных бумаг;</w:t>
      </w:r>
    </w:p>
    <w:p>
      <w:pPr>
        <w:spacing w:after="120"/>
        <w:ind w:firstLine="709"/>
      </w:pPr>
      <w:r>
        <w:rPr>
          <w:sz w:val="24"/>
        </w:rPr>
        <w:t xml:space="preserve">5) расходы на создание и доначисление резервов под обесценение ценных бумаг согласно статье 300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6) расходы на участие в собраниях акционеров, проводимых эмитентами ценных бумаг или по их поручению;</w:t>
      </w:r>
    </w:p>
    <w:p>
      <w:pPr>
        <w:spacing w:after="120"/>
        <w:ind w:firstLine="709"/>
      </w:pPr>
      <w:r>
        <w:rPr>
          <w:sz w:val="24"/>
        </w:rPr>
        <w:t xml:space="preserve">7) другие расходы, непосредственно связанные с деятельностью профессиональных участников рынка ценных бумаг.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299</dc:title>
  <dc:creator>АРБИТРАЖ! · arbi.ru</dc:creator>
  <cp:lastModifiedBy>АРБИТРАЖ!</cp:lastModifiedBy>
  <dcterms:created xsi:type="dcterms:W3CDTF">2026-10-22T22:34:22.127Z</dcterms:created>
</cp:coreProperties>
</file>