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301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Производным финансовым инструментом признается договор, отвечающий требованиям Федерального закона "О рынке ценных бумаг". Перечень видов производных финансовых инструментов (в том числе форвардные, фьючерсные, опционные контракты, своп-контракты) устанавливается Центральным банком Российской Федерации в соответствии с Федеральным законом "О рынке ценных бумаг".</w:t>
      </w:r>
    </w:p>
    <w:p>
      <w:pPr>
        <w:spacing w:after="120"/>
        <w:ind w:firstLine="709"/>
      </w:pPr>
      <w:r>
        <w:rPr>
          <w:sz w:val="24"/>
        </w:rPr>
        <w:t xml:space="preserve">(в ред. Федеральных законов от 23.07.2013 N 251-ФЗ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2014 года.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не признается производным финансовым инструментом договор, требования по которому не подлежат судебной защите в соответствии с гражданским законодательством Российской Федерации и (или) применимым законодательством иностранных государств. Убытки, полученные от указанного договора, не учитываются при определении налоговой базы.</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Под базисным активом производных финансовых инструментов понимается предмет срочной сделки (в том числе иностранная валюта, ценные бумаги и иное имущество и имущественные права, процентные ставки, кредитные ресурсы, индексы цен или процентных ставок, другие производные финансовые инструменты).</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Под участниками срочных сделок понимаются организации, совершающие операции с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2. Исполнением прав и обязанностей по операции с производными финансовыми инструментами является исполнение производного финансового инструмента либо путем поставки базисного актива, либо путем произведения окончательного взаиморасчета по производному финансовому инструменту, либо путем совершения участником срочной сделки операции, противоположной ранее совершенной операции с производным финансовым инструментом. Для операций с производными финансовыми инструментами, направленных на покупку базисного актива, операцией противоположной направленности признается операция, направленная на продажу базисного актива, а для операции, направленной на продажу базисного актива, - операция, направленная на покупку базисного актива. При этом налогообложение операций по поставке базисного актива осуществляется в порядке, предусмотренном статьями 301 - 305 настоящего Кодекса.</w:t>
      </w:r>
    </w:p>
    <w:p>
      <w:pPr>
        <w:spacing w:after="120"/>
        <w:ind w:firstLine="709"/>
      </w:pPr>
      <w:r>
        <w:rPr>
          <w:sz w:val="24"/>
        </w:rPr>
        <w:t xml:space="preserve">(в ред. Федеральных законов от 29.05.2002 N 57-ФЗ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вправе с учетом требований настоящей статьи самостоятельно квалифицировать сделку, условия которой предусматривают поставку базисного актива, признавая ее операцией с производным финансовым инструментом либо сделкой на поставку предмета сделки с отсрочкой исполнения. Критерии отнесения сделок, предусматривающих поставку предмета сделки (за исключением операций хеджирования), к категории операций с производными финансовыми инструментами должны быть определены налогоплательщиком в учетной политике для целей налогообложения.</w:t>
      </w:r>
    </w:p>
    <w:p>
      <w:pPr>
        <w:spacing w:after="120"/>
        <w:ind w:firstLine="709"/>
      </w:pPr>
      <w:r>
        <w:rPr>
          <w:sz w:val="24"/>
        </w:rPr>
        <w:t xml:space="preserve">(в ред. Федеральных законов от 29.05.2002 N 57-ФЗ , от 25.11.2009 N 281-ФЗ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Датой окончания операции с производным финансовым инструментом является дата исполнения прав и обязанностей по операции с производным финансовым инструментом.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Обязательства по производному финансовому инструменту без его переквалификации могут быть прекращены:</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зачетом (взаимозачетом) однородных требований и обязательств;</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порядке, определенном генеральным соглашением (единым договором), которое соответствует примерным условиям договоров, утвержденным в соответствии с Федеральным законом "О рынке ценных бумаг", если такое прекращение предусматривает определение суммы нетто-обязательства;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зачетом встречных требований, вытекающих из договоров, заключенных на условиях правил организованных торгов или правил клиринга, если такой зачет произведен в целях определения суммы нетто-обязательства.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целях настоящей статьи однородными признаются в том числе требования по поставке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Налогообложение сделок, квалифицированных как сделки на поставку предмета сделки с отсрочкой исполнения, осуществляется в порядке, предусмотренном настоящим Кодексом для соответствующих базисных активов таких сделок.</w:t>
      </w:r>
    </w:p>
    <w:p>
      <w:pPr>
        <w:spacing w:after="120"/>
        <w:ind w:firstLine="709"/>
      </w:pPr>
      <w:r>
        <w:rPr>
          <w:sz w:val="24"/>
        </w:rPr>
        <w:t xml:space="preserve">(абзац введен Федеральным законом от 25.11.2009 N 281-ФЗ)</w:t>
      </w:r>
    </w:p>
    <w:p>
      <w:pPr>
        <w:spacing w:after="120"/>
        <w:ind w:firstLine="709"/>
      </w:pPr>
      <w:r>
        <w:rPr>
          <w:sz w:val="24"/>
        </w:rPr>
        <w:t xml:space="preserve">3. В целях настоящей главы производные финансовые инструменты подразделяются на производные финансовые инструменты, обращающиеся на организованном рынке (обращающиеся производные финансовые инструменты), и производные финансовые инструменты, не обращающиеся на организованном рынке (необращающиеся производные финансовые инструменты). При этом производные финансовые инструменты признаются обращающимися на организованном рынке при одновременном соблюдении следующих условий:</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1) порядок их заключения, обращения и исполнения устанавливается организатором торговли, имеющим на это право в соответствии с законодательством Российской Федерации или законодательством иностранных государств;</w:t>
      </w:r>
    </w:p>
    <w:p>
      <w:pPr>
        <w:spacing w:after="120"/>
        <w:ind w:firstLine="709"/>
      </w:pPr>
      <w:r>
        <w:rPr>
          <w:sz w:val="24"/>
        </w:rPr>
        <w:t xml:space="preserve">2) информация о ценах производных финансовых инструментов публикуется в средствах массовой информации (в том числе электронных) либо может быть предоставлена организатором торговли или иным уполномоченным лицом любому заинтересованному лицу в течение трех лет после даты совершения операции с производным финансовым инструментом.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3.1. Сделка, которая заключается не на организованном рынке и условия которой предусматривают поставку базисного актива (в том числе ценных бумаг, иностранной валюты, товара), может быть квалифицирована в качестве производного финансового инструмента при условии, что поставка базисного актива в соответствии с условиями такой сделки должна быть осуществлена не ранее третьего дня после дня ее заключения.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Сделка, которая заключается не на организованном рынке и условия которой не предусматривают поставки базисного актива, может быть квалифицирована только как производный финансовый инструмент.</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3.1 введен Федеральным законом от 25.11.2009 N 281-ФЗ)</w:t>
      </w:r>
    </w:p>
    <w:p>
      <w:pPr>
        <w:spacing w:after="120"/>
        <w:ind w:firstLine="709"/>
      </w:pPr>
      <w:r>
        <w:rPr>
          <w:sz w:val="24"/>
        </w:rPr>
        <w:t xml:space="preserve">3.2. В целях настоящей главы производные финансовые инструменты, условия которых предусматривают поставку базисного актива или заключение иного производного финансового инструмента, условия которого предусматривают поставку базисного актива, признаются поставочными срочными сделками, а производные финансовые инструменты, условия которых не предусматривают поставки базисного актива или заключения иного производного финансового инструмента, условия которых предусматривают поставку базисного актива, расчетными срочными сделками.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Сделки, квалифицированные как поставочные срочные сделки, а также как сделки на поставку предмета сделки с отсрочкой исполнения, в целях настоящей главы не подлежат переквалификации в расчетные срочные сделки в случае прекращения обязательств способами, отличными от надлежащего исполнения.</w:t>
      </w:r>
    </w:p>
    <w:p>
      <w:pPr>
        <w:spacing w:after="120"/>
        <w:ind w:firstLine="709"/>
      </w:pPr>
      <w:r>
        <w:rPr>
          <w:sz w:val="24"/>
        </w:rPr>
        <w:t xml:space="preserve">(п. 3.2 введен Федеральным законом от 25.11.2009 N 281-ФЗ)</w:t>
      </w:r>
    </w:p>
    <w:p>
      <w:pPr>
        <w:spacing w:after="120"/>
        <w:ind w:firstLine="709"/>
      </w:pPr>
      <w:r>
        <w:rPr>
          <w:sz w:val="24"/>
        </w:rPr>
        <w:t xml:space="preserve">4. Для целей настоящей главы под вариационной маржей понимается сумма денежных средств, рассчитываемая организатором торговли или клиринговой организации и уплачиваемая (получаемая) участниками срочных сделок в соответствии с установленными организаторами торговли и (или) клиринговыми организациями правилами.</w:t>
      </w:r>
    </w:p>
    <w:p>
      <w:pPr>
        <w:spacing w:after="120"/>
        <w:ind w:firstLine="709"/>
      </w:pPr>
      <w:r>
        <w:rPr>
          <w:sz w:val="24"/>
        </w:rPr>
        <w:t xml:space="preserve">(в ред. Федеральных законов от 29.05.2002 N 57-ФЗ , от 25.11.2009 N 281-ФЗ )</w:t>
      </w:r>
    </w:p>
    <w:p>
      <w:pPr>
        <w:spacing w:after="120"/>
        <w:ind w:firstLine="709"/>
      </w:pPr>
      <w:r>
        <w:rPr>
          <w:sz w:val="24"/>
        </w:rPr>
        <w:t xml:space="preserve">(см. текст в предыдущей редакции )</w:t>
      </w:r>
    </w:p>
    <w:p>
      <w:pPr>
        <w:spacing w:after="120"/>
        <w:ind w:firstLine="709"/>
      </w:pPr>
      <w:r>
        <w:rPr>
          <w:sz w:val="24"/>
        </w:rPr>
        <w:t xml:space="preserve">5. В целях настоящей главы под операциями хеджирования понимаются операции (совокупность операций) с производными финансовыми инструментами (в том числе разных видов), совершаемые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Под объектами хеджирования признаются имущество, имущественные права налогоплательщика, его обязательства, в том числе права требования и обязанности, носящие денежный характер, срок исполнения которых на дату совершения операции хеджирования не наступил, включая права требования и обязанности, осуществление (исполнение) которых обусловлено предъявлением требования стороны по договору и в отношении которых налогоплательщик принял решение о хеджировании. Базисные активы производных финансовых инструментов, которые используются для операции хеджирования, могут отличаться от объекта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хеджирования допускается заключение более одного производного финансового инструмента разных видов, включая заключение нескольких производных финансовых инструментов в рамках одной операции хеджирования в течение срока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Для подтверждения обоснованности отнесения операции (совокупности операций) с производными финансовыми инструментами к операции хеджирования налогоплательщик составляет на дату заключения данных сделок (первой из сделок - при заключении нескольких сделок в рамках одной операции хеджирования) по операции хеджирования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связанные с изменением цены (в том числе рыночной котировки, курса) или иного показателя объекта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6. При проведении налогоплательщиками - участниками срочных сделок операций в рамках форвардных контрактов, предполагающих поставку базисного актива иностранной организации в таможенной процедуре экспорта, налоговая база определяется с учетом положений статьи 105.3 настоящего Кодекса.</w:t>
      </w:r>
    </w:p>
    <w:p>
      <w:pPr>
        <w:spacing w:after="120"/>
        <w:ind w:firstLine="709"/>
      </w:pPr>
      <w:r>
        <w:rPr>
          <w:sz w:val="24"/>
        </w:rPr>
        <w:t xml:space="preserve">(п. 6 введен Федеральным законом от 29.05.2002 N 57-ФЗ, в ред. Федеральных законов от 27.11.2010 N 306-ФЗ , от 18.07.2011 N 227-ФЗ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301</dc:title>
  <dc:creator>АРБИТРАЖ! · arbi.ru</dc:creator>
  <cp:lastModifiedBy>АРБИТРАЖ!</cp:lastModifiedBy>
  <dcterms:created xsi:type="dcterms:W3CDTF">2026-10-23T00:33:21.187Z</dcterms:created>
</cp:coreProperties>
</file>