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302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доходами налогоплательщика по операциям с производными финансовыми инструментами, обращающимися на организованном рынке, полученными в налоговом (отчетном) периоде, признаются: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сумма вариационной маржи, причитающейся к получению налогоплательщиком в течение отчетного (налогового) периода;</w:t>
      </w:r>
    </w:p>
    <w:p>
      <w:pPr>
        <w:spacing w:after="120"/>
        <w:ind w:firstLine="709"/>
      </w:pPr>
      <w:r>
        <w:rPr>
          <w:sz w:val="24"/>
        </w:rPr>
        <w:t xml:space="preserve">2) иные суммы, причитающиеся к получению в течение отчетного (налогового) периода по операциям с производными финансовыми инструментами, обращающимися на организованном рынке, в том числе в порядке расчетов по операциям с производными финансовыми инструментами, предусматривающим поставку базисного актива.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расходами налогоплательщика по производным финансовым инструментам, обращающимся на организованном рынке, понесенными в налоговом (отчетном) периоде, признаются: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сумма вариационной маржи, подлежащая уплате налогоплательщиком в течение налогового (отчетного) периода;</w:t>
      </w:r>
    </w:p>
    <w:p>
      <w:pPr>
        <w:spacing w:after="120"/>
        <w:ind w:firstLine="709"/>
      </w:pPr>
      <w:r>
        <w:rPr>
          <w:sz w:val="24"/>
        </w:rPr>
        <w:t xml:space="preserve">2) иные суммы, подлежащие уплате в течение налогового (отчетного) периода по операциям с производными финансовыми инструментами, обращающимися на организованном рынке, а также стоимость базисного актива, передаваемого по сделкам, предусматривающим поставку базисного актива;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иные расходы, связанные с осуществлением операций с производными финансовыми инструментами, обращающимися на организованном рынке.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302</dc:title>
  <dc:creator>АРБИТРАЖ! · arbi.ru</dc:creator>
  <cp:lastModifiedBy>АРБИТРАЖ!</cp:lastModifiedBy>
  <dcterms:created xsi:type="dcterms:W3CDTF">2026-10-22T22:05:41.267Z</dcterms:created>
</cp:coreProperties>
</file>