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420-ФЗ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налогообложения, если она отличается не более чем на 20 процентов в сторону повышения (понижения) от расчетной стоимости этого производного финансового инструмента на дату заключения сделки. Порядок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с Министерством финансов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фактическая цена необращающегося производного финансового инструмента отличается более чем на 20 процентов в сторону повышения (понижения) от расчетной стоимости этого финансового инструмента, доходы (расходы) налогоплательщика определяются исходя из расчетной стоимости, увеличенной (уменьшенной) на 20 процентов.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28.12.2013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отношении своп-контрактов и опционных контрактов, как обращающихся, так и не обращающихся на организованном рынке, стороной по которым выступает центральный контрагент,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порядке, установленном Центральным банком Российской Федерации, фактическая цена сделки, определенная с учетом правил клиринга, зарегистрированных в установленном порядке, признается рыночной ценой и применяется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28.12.2013 N 420-ФЗ)</w:t>
      </w:r>
    </w:p>
    <w:p>
      <w:pPr>
        <w:spacing w:after="120"/>
        <w:ind w:firstLine="709"/>
      </w:pPr>
      <w:r>
        <w:rPr>
          <w:sz w:val="24"/>
        </w:rPr>
        <w:t xml:space="preserve">4. Положения пункта 2 настоящей статьи применяются только в отношении сделок, признаваемых контролируемыми в соответствии с разделом V.1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отношении сделок, не признаваемых контролируемыми в соответствии с разделом V.1 настоящего Кодекса, фактическая цена необращающегося производного финансового инструмента признается рыночной ценой и применяется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28.12.2013 N 420-ФЗ)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305</dc:title>
  <dc:creator>АРБИТРАЖ! · arbi.ru</dc:creator>
  <cp:lastModifiedBy>АРБИТРАЖ!</cp:lastModifiedBy>
  <dcterms:created xsi:type="dcterms:W3CDTF">2026-10-22T22:04:25.826Z</dcterms:created>
</cp:coreProperties>
</file>