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309.1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24.11.2014 N 376-ФЗ)</w:t>
      </w:r>
    </w:p>
    <w:p>
      <w:pPr>
        <w:spacing w:after="120"/>
        <w:ind w:firstLine="709"/>
      </w:pPr>
      <w:r>
        <w:rPr>
          <w:sz w:val="24"/>
        </w:rPr>
        <w:t xml:space="preserve">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w:t>
      </w:r>
    </w:p>
    <w:p>
      <w:pPr>
        <w:spacing w:after="120"/>
        <w:ind w:firstLine="709"/>
      </w:pPr>
      <w:r>
        <w:rPr>
          <w:sz w:val="24"/>
        </w:rPr>
        <w:t xml:space="preserve">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 3.1 , 7 и 8 настоящей статьи;</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по правилам, установленным настоящей главой для налогоплательщиков - российских организаций.</w:t>
      </w:r>
    </w:p>
    <w:p>
      <w:pPr>
        <w:spacing w:after="120"/>
        <w:ind w:firstLine="709"/>
      </w:pPr>
      <w:r>
        <w:rPr>
          <w:sz w:val="24"/>
        </w:rPr>
        <w:t xml:space="preserve">(п. 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Определение прибыли (убытка) контролируемой иностранной компании в соответствии с подпунктом 1 пункта 1 настоящей статьи осуществляется при выполнении одного из следующих условий:</w:t>
      </w:r>
    </w:p>
    <w:p>
      <w:pPr>
        <w:spacing w:after="120"/>
        <w:ind w:firstLine="709"/>
      </w:pPr>
      <w:r>
        <w:rPr>
          <w:sz w:val="24"/>
        </w:rPr>
        <w:t xml:space="preserve">1) 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w:t>
      </w:r>
    </w:p>
    <w:p>
      <w:pPr>
        <w:spacing w:after="120"/>
        <w:ind w:firstLine="709"/>
      </w:pPr>
      <w:r>
        <w:rPr>
          <w:sz w:val="24"/>
        </w:rPr>
        <w:t xml:space="preserve">2) в отношении финансовой отчетности представлено аудиторское заключение, которое не содержит отрицательного мнения или отказа в выражении мнения.</w:t>
      </w:r>
    </w:p>
    <w:p>
      <w:pPr>
        <w:spacing w:after="120"/>
        <w:ind w:firstLine="709"/>
      </w:pPr>
      <w:r>
        <w:rPr>
          <w:sz w:val="24"/>
        </w:rPr>
        <w:t xml:space="preserve">(п. 1.1 введен Федеральным законом от 15.02.2016 N 32-ФЗ)</w:t>
      </w:r>
    </w:p>
    <w:p>
      <w:pPr>
        <w:spacing w:after="120"/>
        <w:ind w:firstLine="709"/>
      </w:pPr>
      <w:r>
        <w:rPr>
          <w:sz w:val="24"/>
        </w:rPr>
        <w:t xml:space="preserve">1.2. Определение прибыли (убытка) контролируемой иностранной компании в соответствии с подпунктом 1 пункта 1 настоящей статьи осуществляется с учетом следующих требований:</w:t>
      </w:r>
    </w:p>
    <w:p>
      <w:pPr>
        <w:spacing w:after="120"/>
        <w:ind w:firstLine="709"/>
      </w:pPr>
      <w:r>
        <w:rPr>
          <w:sz w:val="24"/>
        </w:rPr>
        <w:t xml:space="preserve">1) в целях определения прибыли (убытка) контролируемой иностранной компании в соответствии с подпунктом 1 пункта 1 настоящей статьи используется неконсолидированная финансовая отчетность такой компании, составленная в соответствии со стандартом, установленным личным законом такой компании.</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пп. 1 п. 1.2 ст. 309.1 вносятся изменения ( ФЗ от 10.06.2026 N 170-ФЗ). См. будущую редакцию .</w:t>
      </w:r>
    </w:p>
    <w:p>
      <w:pPr>
        <w:spacing w:after="120"/>
        <w:ind w:firstLine="709"/>
      </w:pPr>
      <w:r>
        <w:rPr>
          <w:sz w:val="24"/>
        </w:rPr>
        <w:t xml:space="preserve">В случае, если личным законом контролируемой иностранной компании не установлен стандарт составления финансовой отчетности, прибыль (убыток) такой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пп. 1 п. 1.2 ст. 309.1 вносятся изменения ( ФЗ от 10.06.2026 N 170-ФЗ). См. будущую редакцию .</w:t>
      </w:r>
    </w:p>
    <w:p>
      <w:pPr>
        <w:spacing w:after="120"/>
        <w:ind w:firstLine="709"/>
      </w:pPr>
      <w:r>
        <w:rPr>
          <w:sz w:val="24"/>
        </w:rPr>
        <w:t xml:space="preserve">Прибыль (убыток)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также в случае, если по состоянию на дату окончания финансового года, за который составляется финансовая отчетность, выполнялось одно из следующих условий: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отношении указанной иностранной компании или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подпунктом 1 пункта 5 статьи 25.15 настоящего Кодекса;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2) в случае, если в соответствии с личным законом контролируемой иностранной компании ее финансовая отчетность не подлежит обязательному аудиту, определение прибыли (убытка) такой контролируемой иностранной компании в целях настоящего Кодекса осуществляется на основании финансовой отчетности, аудит которой проведен в соответствии с международными стандартами аудита. Соблюдение условий, установленных настоящим подпунктом, не требуется для целей применения подпункта 1 пункта 1.1 настоящей статьи.</w:t>
      </w:r>
    </w:p>
    <w:p>
      <w:pPr>
        <w:spacing w:after="120"/>
        <w:ind w:firstLine="709"/>
      </w:pPr>
      <w:r>
        <w:rPr>
          <w:sz w:val="24"/>
        </w:rPr>
        <w:t xml:space="preserve">(п. 1.2 введен Федеральным законом от 15.02.2016 N 32-ФЗ)</w:t>
      </w:r>
    </w:p>
    <w:p>
      <w:pPr>
        <w:spacing w:after="120"/>
        <w:ind w:firstLine="709"/>
      </w:pPr>
      <w:r>
        <w:rPr>
          <w:sz w:val="24"/>
        </w:rPr>
        <w:t xml:space="preserve">1.3. В случае невыполнения условий, установленных пунктом 1.1 настоящей статьи, а также по выбору налогоплательщика - контролирующего лица (с учетом положений абзаца второго настоящего пункта и положений пункта 1.4 настоящей статьи) прибыль (убыток) контролируемой иностранной компании определяется в соответствии с подпунктом 2 пункта 1 настоящей статьи, за исключением положений, установленных абзацами первым и вторым пункта 2 и пунктами 3 - 5 , 7 настоящей статьи.</w:t>
      </w:r>
    </w:p>
    <w:p>
      <w:pPr>
        <w:spacing w:after="120"/>
        <w:ind w:firstLine="709"/>
      </w:pPr>
      <w:r>
        <w:rPr>
          <w:sz w:val="24"/>
        </w:rPr>
        <w:t xml:space="preserve">В случае, если порядок определения прибыли (убытка) контролируемой иностранной компании в соответствии с подпунктом 2 пункта 1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w:t>
      </w:r>
    </w:p>
    <w:p>
      <w:pPr>
        <w:spacing w:after="120"/>
        <w:ind w:firstLine="709"/>
      </w:pPr>
      <w:r>
        <w:rPr>
          <w:sz w:val="24"/>
        </w:rPr>
        <w:t xml:space="preserve">(п. 1.3 введен Федеральным законом от 15.02.2016 N 32-ФЗ)</w:t>
      </w:r>
    </w:p>
    <w:p>
      <w:pPr>
        <w:spacing w:after="120"/>
        <w:ind w:firstLine="709"/>
      </w:pPr>
      <w:r>
        <w:rPr>
          <w:sz w:val="24"/>
        </w:rPr>
        <w:t xml:space="preserve">1.4. Вне зависимости от наличия оснований, указанных в пунктах 1.1 и 1.2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подпунктом 2 пункта 1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лиц налогоплательщика - контролирующего лица и такой порядок подлежит применению в отношении соответствующей контролируемой иностранной компании в течение не менее пяти налоговых периодов по налогу на прибыль организаций с даты начала его применения.</w:t>
      </w:r>
    </w:p>
    <w:p>
      <w:pPr>
        <w:spacing w:after="120"/>
        <w:ind w:firstLine="709"/>
      </w:pPr>
      <w:r>
        <w:rPr>
          <w:sz w:val="24"/>
        </w:rPr>
        <w:t xml:space="preserve">(п. 1.4 введен Федеральным законом от 15.02.2016 N 32-ФЗ)</w:t>
      </w:r>
    </w:p>
    <w:p>
      <w:pPr>
        <w:spacing w:after="120"/>
        <w:ind w:firstLine="709"/>
      </w:pPr>
      <w:r>
        <w:rPr>
          <w:sz w:val="24"/>
        </w:rPr>
        <w:t xml:space="preserve">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пунктом 1 статьи 25.15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w:t>
      </w:r>
    </w:p>
    <w:p>
      <w:pPr>
        <w:spacing w:after="120"/>
        <w:ind w:firstLine="709"/>
      </w:pPr>
      <w:r>
        <w:rPr>
          <w:sz w:val="24"/>
        </w:rPr>
        <w:t xml:space="preserve">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w:t>
      </w:r>
    </w:p>
    <w:p>
      <w:pPr>
        <w:spacing w:after="120"/>
        <w:ind w:firstLine="709"/>
      </w:pPr>
      <w:r>
        <w:rPr>
          <w:sz w:val="24"/>
        </w:rPr>
        <w:t xml:space="preserve">В случае определения суммы прибыли (убытка) контролируемой иностранной компании в соответствии с подпунктом 2 пункта 1 настоящей статьи сумма прибыли (убытка) контролируемой иностранной компании определяется в официальной валюте государства (территории) постоянного местонахождения иностранной организации и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календарный год, за который определяется сумма прибыли (убытка) контролируемой иностранной компании. Сумма прибыли (убытка) контролируемой иностранной компании должна быть подтверждена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w:t>
      </w:r>
    </w:p>
    <w:p>
      <w:pPr>
        <w:spacing w:after="120"/>
        <w:ind w:firstLine="709"/>
      </w:pPr>
      <w:r>
        <w:rPr>
          <w:sz w:val="24"/>
        </w:rPr>
        <w:t xml:space="preserve">(п. 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w:t>
      </w:r>
    </w:p>
    <w:p>
      <w:pPr>
        <w:spacing w:after="120"/>
        <w:ind w:firstLine="709"/>
      </w:pPr>
      <w:r>
        <w:rPr>
          <w:sz w:val="24"/>
        </w:rPr>
        <w:t xml:space="preserve">1) в виде сумм от переоценки и (или) обесценения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произведенных в соответствии с применимыми стандартами составления финансовой отчетности, признанных в составе прибыли (убытка) контролируемой иностранной компании до налогообложения;</w:t>
      </w:r>
    </w:p>
    <w:p>
      <w:pPr>
        <w:spacing w:after="120"/>
        <w:ind w:firstLine="709"/>
      </w:pPr>
      <w:r>
        <w:rPr>
          <w:sz w:val="24"/>
        </w:rPr>
        <w:t xml:space="preserve">(пп. 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1.1) в виде сумм доходов от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и расходов, признанных при выбытии указанных активов в составе прибыли (убытка) контролируемой иностранной компании до налогообложения;</w:t>
      </w:r>
    </w:p>
    <w:p>
      <w:pPr>
        <w:spacing w:after="120"/>
        <w:ind w:firstLine="709"/>
      </w:pPr>
      <w:r>
        <w:rPr>
          <w:sz w:val="24"/>
        </w:rPr>
        <w:t xml:space="preserve">(пп. 1.1 введен Федеральным законом от 28.12.2017 N 436-ФЗ;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2) в виде сумм прибыли (убытка) дочерних (ассоциированных) организаций (за исключением дивидендов), признанных в финансовой отчетности контролируемой иностранной компании в соответствии с ее личным законом (учетной политикой этой компании для целей составления ее финансовой отчетности);</w:t>
      </w:r>
    </w:p>
    <w:p>
      <w:pPr>
        <w:spacing w:after="120"/>
        <w:ind w:firstLine="709"/>
      </w:pPr>
      <w:r>
        <w:rPr>
          <w:sz w:val="24"/>
        </w:rPr>
        <w:t xml:space="preserve">3) в виде сумм расходов на формирование резервов и доходов от восстановления резервов. При этом прибыль контролируемой иностранной компании уменьшается на суммы расходов, уменьшающих величину ранее сформированного резерва.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то расходы, которые уменьшают величину ранее сформированного резерва, увеличивают сумму такого убытка. Установленный настоящим подпунктом порядок учета при определении прибыли (убытка) контролируемой иностранной компании сумм расходов, уменьшающих величину ранее сформированного резерва, применяется при условии раскрытия в финансовой отчетности контролируемой иностранной компании сумм расходов, уменьшающих ранее сформированные резервы, или при условии документального подтверждения таких расходов.</w:t>
      </w:r>
    </w:p>
    <w:p>
      <w:pPr>
        <w:spacing w:after="120"/>
        <w:ind w:firstLine="709"/>
      </w:pPr>
      <w:r>
        <w:rPr>
          <w:sz w:val="24"/>
        </w:rPr>
        <w:t xml:space="preserve">(п. 3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подпунктом 1 пункта 1 настоящей статьи корректируется на прибыль (убыток) от выбытия указанных финансовых активов, определяемую в порядке, установленном настоящим пунктом.</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Прибыль (убыток) от выбытия финансовых активов определяется как соответствующие доходы, уменьшенные на величину расходов в следующем порядке:</w:t>
      </w:r>
    </w:p>
    <w:p>
      <w:pPr>
        <w:spacing w:after="120"/>
        <w:ind w:firstLine="709"/>
      </w:pPr>
      <w:r>
        <w:rPr>
          <w:sz w:val="24"/>
        </w:rPr>
        <w:t xml:space="preserve">доходы при реализации или ином выбытии финансовых активов определяются в соответствии с применимыми стандартами составления финансовой отчетности;</w:t>
      </w:r>
    </w:p>
    <w:p>
      <w:pPr>
        <w:spacing w:after="120"/>
        <w:ind w:firstLine="709"/>
      </w:pPr>
      <w:r>
        <w:rPr>
          <w:sz w:val="24"/>
        </w:rPr>
        <w:t xml:space="preserve">расходы при реализации или ином выбытии финансовых активов определяются либо исходя из стоимости указанных финансовых активов по данным учета контролируемой иностранной компании на дату принятия указанных финансовых активов к учету в случае, если указанные финансовые активы приняты к учету в финансовом году, начавшемся в 2015 году, или в любом последующем финансовом году, либо исходя из стоимости указанных финансовых активов по данным учета контролируемой иностранной компании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При этом при реализации или ином выбытии долей в уставном (складочном) капитале (фонде) организации в состав расходов, указанных в настоящем абзаце, также включаются расходы контролируемой иностранной компании в сумме денежных средств, внесенных в имущество (капитал) такой организации в финансовом году, начавшемся в 2015 году, или в любом последующем финансовом году, если соответствующие расходы изменяют стоимость долей в уставном (складочном) капитале (фонде) организации по данным учета контролируемой иностранной компании.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состоянию на конец финансового года, в котором произошло выбытие финансовых активов, сведения о стоимости таких финансовых активов на дату их принятия к учету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отсутствуют, налогоплательщик вправе определить такую стоимость посредством корректировки доходов от выбытия указанных финансовых активов на суммы от их переоценки, в том числе убытка от их обесценения, учтенные в финансовой отчетности контролируемой иностранной компании, за финансовые годы, начавшиеся после 2015 года включительно.</w:t>
      </w:r>
    </w:p>
    <w:p>
      <w:pPr>
        <w:spacing w:after="120"/>
        <w:ind w:firstLine="709"/>
      </w:pPr>
      <w:r>
        <w:rPr>
          <w:sz w:val="24"/>
        </w:rPr>
        <w:t xml:space="preserve">Для целей настоящего пункта стоимость финансовых активов подтверждается данными учета иностранной организации, пояснениями к ее финансовой отчетности (если применимо) и (или) расчетом, основанным на корректировке доходов от реализации или иного выбытия указанных финансовых активов на суммы от их переоценки, определенные в соответствии с применимыми стандартами составления финансовой отчетности, и определяется в валюте финансовой отчетности контролируемой иностранной компании.</w:t>
      </w:r>
    </w:p>
    <w:p>
      <w:pPr>
        <w:spacing w:after="120"/>
        <w:ind w:firstLine="709"/>
      </w:pPr>
      <w:r>
        <w:rPr>
          <w:sz w:val="24"/>
        </w:rPr>
        <w:t xml:space="preserve">(п. 3.1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настоящего Кодекса следующие доходы признаются доходами от пассивной деятельности:</w:t>
      </w:r>
    </w:p>
    <w:p>
      <w:pPr>
        <w:spacing w:after="120"/>
        <w:ind w:firstLine="709"/>
      </w:pPr>
      <w:r>
        <w:rPr>
          <w:sz w:val="24"/>
        </w:rPr>
        <w:t xml:space="preserve">1) дивиденды;</w:t>
      </w:r>
    </w:p>
    <w:p>
      <w:pPr>
        <w:spacing w:after="120"/>
        <w:ind w:firstLine="709"/>
      </w:pPr>
      <w:r>
        <w:rPr>
          <w:sz w:val="24"/>
        </w:rPr>
        <w:t xml:space="preserve">2) доходы, получаемые в результате распределения прибыли или имущества организаций, иных лиц или их объединений, в том числе при их ликвидации;</w:t>
      </w:r>
    </w:p>
    <w:p>
      <w:pPr>
        <w:spacing w:after="120"/>
        <w:ind w:firstLine="709"/>
      </w:pPr>
      <w:r>
        <w:rPr>
          <w:sz w:val="24"/>
        </w:rPr>
        <w:t xml:space="preserve">3) процентный доход от долговых обязательств любого вида, включая облигации с правом на участие в прибылях и конвертируемые облигации;</w:t>
      </w:r>
    </w:p>
    <w:p>
      <w:pPr>
        <w:spacing w:after="120"/>
        <w:ind w:firstLine="709"/>
      </w:pPr>
      <w:r>
        <w:rPr>
          <w:sz w:val="24"/>
        </w:rPr>
        <w:t xml:space="preserve">4) доходы от использования прав на объекты интеллектуальной собственности.</w:t>
      </w:r>
    </w:p>
    <w:p>
      <w:pPr>
        <w:spacing w:after="120"/>
        <w:ind w:firstLine="709"/>
      </w:pPr>
      <w:r>
        <w:rPr>
          <w:sz w:val="24"/>
        </w:rPr>
        <w:t xml:space="preserve">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pPr>
        <w:spacing w:after="120"/>
        <w:ind w:firstLine="709"/>
      </w:pPr>
      <w:r>
        <w:rPr>
          <w:sz w:val="24"/>
        </w:rPr>
        <w:t xml:space="preserve">5) доходы от реализации акций (долей) и (или) уступки прав в иностранной организации, не являющейся юридическим лицом по иностранному праву;</w:t>
      </w:r>
    </w:p>
    <w:p>
      <w:pPr>
        <w:spacing w:after="120"/>
        <w:ind w:firstLine="709"/>
      </w:pPr>
      <w:r>
        <w:rPr>
          <w:sz w:val="24"/>
        </w:rPr>
        <w:t xml:space="preserve">6) доходы по операциям с производными финансовыми инструментами;</w:t>
      </w:r>
    </w:p>
    <w:p>
      <w:pPr>
        <w:spacing w:after="120"/>
        <w:ind w:firstLine="709"/>
      </w:pPr>
      <w:r>
        <w:rPr>
          <w:sz w:val="24"/>
        </w:rPr>
        <w:t xml:space="preserve">(пп. 6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7) доходы от реализации недвижимого имущества;</w:t>
      </w:r>
    </w:p>
    <w:p>
      <w:pPr>
        <w:spacing w:after="120"/>
        <w:ind w:firstLine="709"/>
      </w:pPr>
      <w:r>
        <w:rPr>
          <w:sz w:val="24"/>
        </w:rPr>
        <w:t xml:space="preserve">8) доходы от сдачи в аренду или субаренду имущества, в том числе доходы от лизинговых операций, за исключением следующих доходов:</w:t>
      </w:r>
    </w:p>
    <w:p>
      <w:pPr>
        <w:spacing w:after="120"/>
        <w:ind w:firstLine="709"/>
      </w:pPr>
      <w:r>
        <w:rPr>
          <w:sz w:val="24"/>
        </w:rPr>
        <w:t xml:space="preserve">от предоставления в аренду или субаренду морских судов, судов смешанного (река - море) плавания или воздушных судов и (или) транспортных средств, а также контейнеров, используемых в международных перевозках;</w:t>
      </w:r>
    </w:p>
    <w:p>
      <w:pPr>
        <w:spacing w:after="120"/>
        <w:ind w:firstLine="709"/>
      </w:pPr>
      <w:r>
        <w:rPr>
          <w:sz w:val="24"/>
        </w:rPr>
        <w:t xml:space="preserve">от предоставления в аренду или субаренду подземных хранилищ газа и трубопроводов, используемых для транспортировки углеводородов.</w:t>
      </w:r>
    </w:p>
    <w:p>
      <w:pPr>
        <w:spacing w:after="120"/>
        <w:ind w:firstLine="709"/>
      </w:pPr>
      <w:r>
        <w:rPr>
          <w:sz w:val="24"/>
        </w:rPr>
        <w:t xml:space="preserve">В целях настоящего подпункта определение суммы дохода от лизинговых операций, связанных с приобретением и использованием предмета лизинга лизингополучателем, производится исходя из общей суммы лизингового платежа за вычетом возмещения стоимости лизингового имущества (при лизинге) лизингодателю;</w:t>
      </w:r>
    </w:p>
    <w:p>
      <w:pPr>
        <w:spacing w:after="120"/>
        <w:ind w:firstLine="709"/>
      </w:pPr>
      <w:r>
        <w:rPr>
          <w:sz w:val="24"/>
        </w:rPr>
        <w:t xml:space="preserve">9) доходы от реализации (в том числе погашения) инвестиционных паев паевых инвестиционных фондов;</w:t>
      </w:r>
    </w:p>
    <w:p>
      <w:pPr>
        <w:spacing w:after="120"/>
        <w:ind w:firstLine="709"/>
      </w:pPr>
      <w:r>
        <w:rPr>
          <w:sz w:val="24"/>
        </w:rPr>
        <w:t xml:space="preserve">10) 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p>
      <w:pPr>
        <w:spacing w:after="120"/>
        <w:ind w:firstLine="709"/>
      </w:pPr>
      <w:r>
        <w:rPr>
          <w:sz w:val="24"/>
        </w:rPr>
        <w:t xml:space="preserve">11) доходы от услуг по предоставлению персонала;</w:t>
      </w:r>
    </w:p>
    <w:p>
      <w:pPr>
        <w:spacing w:after="120"/>
        <w:ind w:firstLine="709"/>
      </w:pPr>
      <w:r>
        <w:rPr>
          <w:sz w:val="24"/>
        </w:rPr>
        <w:t xml:space="preserve">12) иные доходы, аналогичные доходам, указанным в подпунктах 1 - 11 настоящего пункта.</w:t>
      </w:r>
    </w:p>
    <w:p>
      <w:pPr>
        <w:spacing w:after="120"/>
        <w:ind w:firstLine="709"/>
      </w:pPr>
      <w:r>
        <w:rPr>
          <w:sz w:val="24"/>
        </w:rPr>
        <w:t xml:space="preserve">(п. 4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не указанные в пункте 4 настоящей статьи, в целях настоящего Кодекса признаются доходами от активной деятельности.</w:t>
      </w:r>
    </w:p>
    <w:p>
      <w:pPr>
        <w:spacing w:after="120"/>
        <w:ind w:firstLine="709"/>
      </w:pPr>
      <w:r>
        <w:rPr>
          <w:sz w:val="24"/>
        </w:rPr>
        <w:t xml:space="preserve">При этом доходы, указанные в подпунктах 3 и 6 пункта 4 настоящей статьи, признаются доходами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 5 ст. 309.1 вносятся изменения ( ФЗ от 10.06.2026 N 170-ФЗ). См. будущую редакцию .</w:t>
      </w:r>
    </w:p>
    <w:p>
      <w:pPr>
        <w:spacing w:after="120"/>
        <w:ind w:firstLine="709"/>
      </w:pPr>
      <w:r>
        <w:rPr>
          <w:sz w:val="24"/>
        </w:rPr>
        <w:t xml:space="preserve">Доходы иностранной компании, указанные в подпункте 6 пункта 4 настоящей статьи, признаются доходами от активной деятельности в случаях, если такие доходы получены от реализации товаров на основании договоров (контрактов), по условиям которых осуществляется поставка базисного актива, или такие доходы получены по операциям хеджирования в целях компенсации неблагоприятных последствий, связанных с изменением стоимости соответствующего объекта хеджирования, и к которым требования международных стандартов финансовой отчетности применяются как к производным финансовым инструментам, при условии раскрытия соответствующих сведений в финансовой отчетности контролируемой иностранной компании (включая примечания к финансовой отчетности).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Доходы по операциям с финансовыми инструментами срочных сделок (производными финансовыми инструментами), указанные в настоящем пункте, признаются доходами от активной деятельности при условии, что в случае реализации соответствующего базисного актива по договору купли-продажи такие доходы не признавались бы доходами от пассивной деятельности.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(п. 5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база контролируемой иностранной компании определяется отдельно в отношении каждой контролируемой иностранной компании.</w:t>
      </w:r>
    </w:p>
    <w:p>
      <w:pPr>
        <w:spacing w:after="120"/>
        <w:ind w:firstLine="709"/>
      </w:pPr>
      <w:r>
        <w:rPr>
          <w:sz w:val="24"/>
        </w:rPr>
        <w:t xml:space="preserve">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пунктом 7.1 настоящей статьи.</w:t>
      </w:r>
    </w:p>
    <w:p>
      <w:pPr>
        <w:spacing w:after="120"/>
        <w:ind w:firstLine="709"/>
      </w:pPr>
      <w:r>
        <w:rPr>
          <w:sz w:val="24"/>
        </w:rPr>
        <w:t xml:space="preserve">(в ред. Федеральных законов от 15.02.2016 N 32-ФЗ , от 28.12.2017 N 436-ФЗ )</w:t>
      </w:r>
    </w:p>
    <w:p>
      <w:pPr>
        <w:spacing w:after="120"/>
        <w:ind w:firstLine="709"/>
      </w:pPr>
      <w:r>
        <w:rPr>
          <w:sz w:val="24"/>
        </w:rPr>
        <w:t xml:space="preserve">(см. текст в предыдущей редакции )</w:t>
      </w:r>
    </w:p>
    <w:p>
      <w:pPr>
        <w:spacing w:after="120"/>
        <w:ind w:firstLine="709"/>
      </w:pPr>
      <w:r>
        <w:rPr>
          <w:sz w:val="24"/>
        </w:rPr>
        <w:t xml:space="preserve">7.1. Убыток контролируемой иностранной компании, определенный одним из способов, установленных пунктом 1 настоящей статьи, не может быть перенесен на будущие периоды, если налогоплательщиком - контролирующим лицом не представлено уведомление о контролируемой иностранной компании за период, за который получен указанный убыток.</w:t>
      </w:r>
    </w:p>
    <w:p>
      <w:pPr>
        <w:spacing w:after="120"/>
        <w:ind w:firstLine="709"/>
      </w:pPr>
      <w:r>
        <w:rPr>
          <w:sz w:val="24"/>
        </w:rPr>
        <w:t xml:space="preserve">В случае, если налогоплательщик прекращает быть контролирующим лицом контролируемой иностранной компании, он утрачивает право переноса убытка такой компании на будущие периоды в части, не учтенной им ранее при исчислении прибыли контролируемой иностранной компании.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(п. 7.1 введен Федеральным законом от 15.02.2016 N 32-ФЗ)</w:t>
      </w:r>
    </w:p>
    <w:p>
      <w:pPr>
        <w:spacing w:after="120"/>
        <w:ind w:firstLine="709"/>
      </w:pPr>
      <w:r>
        <w:rPr>
          <w:sz w:val="24"/>
        </w:rPr>
        <w:t xml:space="preserve">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пунктом 7 настоящей статьи, и учтен при определении прибыли контролируемой иностранной компании.</w:t>
      </w:r>
    </w:p>
    <w:p>
      <w:pPr>
        <w:spacing w:after="120"/>
        <w:ind w:firstLine="709"/>
      </w:pPr>
      <w:r>
        <w:rPr>
          <w:sz w:val="24"/>
        </w:rPr>
        <w:t xml:space="preserve">Совокупная прибыль (убыток) контролируемой иностранной компании за период, предшествующий финансовому году, начавшемуся в 2015 году, определяется как сумма прибылей (убытков) до налогообложения по данным финансовой отчетности контролируемой иностранной компании за три финансовых года, непосредственно предшествующие финансовому году, начавшемуся в 2015 году, без учета особенностей, предусмотренных пунктами 3 и 3.1 настоящей статьи.</w:t>
      </w:r>
    </w:p>
    <w:p>
      <w:pPr>
        <w:spacing w:after="120"/>
        <w:ind w:firstLine="709"/>
      </w:pPr>
      <w:r>
        <w:rPr>
          <w:sz w:val="24"/>
        </w:rPr>
        <w:t xml:space="preserve">При этом в случае, если на последнее число финансового года, непосредственно предшествующего финансовому году, начавшемуся в 2015 году, контролируемой иностранной компании на праве собственности принадлежат доли в уставном (складочном) капитале (фонде) организаций, паи в паевых фондах кооперативов и паевых инвестиционных фондах, ценные бумаги, производные финансовые инструменты, переоценка которых по справедливой стоимости не признавалась ни в одном году из трех финансовых лет, непосредственно предшествующих финансовому году, начавшемуся в 2015 году, в составе прибыли (убытка) контролируемой иностранной компании до налогообложения, совокупная прибыль (убыток) такой контролируемой иностранной компании за период, предшествующий финансовому году, начавшемуся в 2015 году, корректируется на накопленную переоценку таких активов по справедливой стоимости за период с даты их приобретения (с первого числа финансового года, начавшегося в 2012 году, если дата приобретения приходится на период до указанной даты) до последнего числа финансового года, непосредственно предшествующего финансовому году, начавшемуся в 2015 году.</w:t>
      </w:r>
    </w:p>
    <w:p>
      <w:pPr>
        <w:spacing w:after="120"/>
        <w:ind w:firstLine="709"/>
      </w:pPr>
      <w:r>
        <w:rPr>
          <w:sz w:val="24"/>
        </w:rPr>
        <w:t xml:space="preserve">(п. 8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доходы контролируемой иностранной компании, учитываемые при определении налоговой базы, получены в результате совершения контролируемой сделки с налогоплательщиком, в отношении которой была проведена проверка полноты исчисления и уплаты налогов в связи с совершением сделок между взаимозависимыми лицами и в соответствии со вступившим в силу решением, принятым по результатам указанной проверки, цена сделки была скорректирована с целью доначисления налога, в целях определения налоговой базы соответствующие доходы контролируемой иностранной компании определяются с учетом указанной корректировки.</w:t>
      </w:r>
    </w:p>
    <w:p>
      <w:pPr>
        <w:spacing w:after="120"/>
        <w:ind w:firstLine="709"/>
      </w:pPr>
      <w:r>
        <w:rPr>
          <w:sz w:val="24"/>
        </w:rPr>
        <w:t xml:space="preserve">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прибыли (убытка) контролируемой иностранной компании при условии, что цена реализации ценных бумаг и (или) имущественных прав (в том числе долей, паев) определена исходя из их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w:t>
      </w:r>
    </w:p>
    <w:p>
      <w:pPr>
        <w:spacing w:after="120"/>
        <w:ind w:firstLine="709"/>
      </w:pPr>
      <w:r>
        <w:rPr>
          <w:sz w:val="24"/>
        </w:rPr>
        <w:t xml:space="preserve">Если иное не указано в абзацах четвертом - седьмом настоящего пункта, положения абзаца первого настоящего пункта применяются при условии, что процедура ликвидации контролируемой иностранной компании завершена до 1 марта 2019 года.</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Предельный срок завершения процедуры ликвидации контролируемой иностранной компании, указанный в абзаце втором настоящего пункта, продлевается в следующих случаях:</w:t>
      </w:r>
    </w:p>
    <w:p>
      <w:pPr>
        <w:spacing w:after="120"/>
        <w:ind w:firstLine="709"/>
      </w:pPr>
      <w:r>
        <w:rPr>
          <w:sz w:val="24"/>
        </w:rPr>
        <w:t xml:space="preserve">если решение акционеров (учредителей) или иных уполномоченных лиц о ликвидации контролируемой иностранной компании принято до 1 июля 2018 года, но процедура ликвидации не может быть завершена до 1 марта 2019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если личным законом контролируемой иностранной компании установлен минимальный период владения акциями (долями, паями) в контролируемой иностранной компании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марта 2019 года,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абзаце;</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если решение о ликвидации иностранной компании не может быть принято до 1 марта 2019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действия таких ограничений для указанной компании.</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w:t>
      </w:r>
    </w:p>
    <w:p>
      <w:pPr>
        <w:spacing w:after="120"/>
        <w:ind w:firstLine="709"/>
      </w:pPr>
      <w:r>
        <w:rPr>
          <w:sz w:val="24"/>
        </w:rPr>
        <w:t xml:space="preserve">(п. 10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Сумма налога, исчисленного в отношении прибыли контролируемой иностранной компании (за исключением суммы налога на доходы физических лиц, исчисленного с фиксированной прибыли) за соответствующий период (если иное не предусмотрено настоящим пунктом),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w:t>
      </w:r>
    </w:p>
    <w:p>
      <w:pPr>
        <w:spacing w:after="120"/>
        <w:ind w:firstLine="709"/>
      </w:pPr>
      <w:r>
        <w:rPr>
          <w:sz w:val="24"/>
        </w:rPr>
        <w:t xml:space="preserve">(в ред. Федеральных законов от 15.02.2016 N 32-ФЗ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pPr>
        <w:spacing w:after="120"/>
        <w:ind w:firstLine="709"/>
      </w:pPr>
      <w:r>
        <w:rPr>
          <w:sz w:val="24"/>
        </w:rPr>
        <w:t xml:space="preserve">В случае, если контролируемая иностранная компания входит в состав иностранной консолидированной группы налогоплательщиков, для целей определения суммы налога, исчисленного в отношении прибыли такой контролируемой иностранной компании в соответствии с законодательством иностранного государства, может быть учтена часть суммы налога, исчисленного в отношении такой иностранной консолидированной группы налогоплательщиков. При этом указанная часть определяется в порядке, установленном пунктом 2 статьи 25.13-1 настоящего Кодекса для контролируемой иностранной компании, входящей в иностранную консолидированную группу налогоплательщиков.</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В случае, если в соответствии с законодательством иностранного государства срок исчисления налога в отношении прибыли контролируемой иностранной компании за соответствующий период установлен на более позднюю дату, чем предусмотренная главой 23 настоящего Кодекса или настоящей главой дата предоставления налогоплательщиком - контролирующим лицом налоговой декларации, соответствующая сумма налога учитывается при исчислении налога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При этом совокупный размер исчисленных в соответствии с законодательством иностранного государства сумм налогов не может превышать сумму налога, исчисленного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Установление срока исчисления налога в отношении прибыли контролируемой иностранной компании за соответствующий период на более позднюю дату, чем предусмотренная главой 23 настоящего Кодекса или настоящей главой дата предоставления налогоплательщиком - контролирующим лицом налоговой декларации, должно быть подтверждено путем представления налогоплательщиком - контролирующим лицом в налоговый орган по месту нахождения соответствующих документов одновременно с представлением налоговой декларации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12. В случае, если налогоплательщиком - контролирующим лицом, являющимся физическим лицом, в налоговый орган представлено уведомление о переходе на уплату налога на доходы физических лиц с фиксированной прибыли контролируемой иностранной компании, положения настоящей статьи применяются с учетом следующих особенностей:</w:t>
      </w:r>
    </w:p>
    <w:p>
      <w:pPr>
        <w:spacing w:after="120"/>
        <w:ind w:firstLine="709"/>
      </w:pPr>
      <w:r>
        <w:rPr>
          <w:sz w:val="24"/>
        </w:rPr>
        <w:t xml:space="preserve">убыток контролируемой иностранной компании, полученный до перехода на уплату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w:t>
      </w:r>
    </w:p>
    <w:p>
      <w:pPr>
        <w:spacing w:after="120"/>
        <w:ind w:firstLine="709"/>
      </w:pPr>
      <w:r>
        <w:rPr>
          <w:sz w:val="24"/>
        </w:rPr>
        <w:t xml:space="preserve">убыток контролируемой иностранной компании, полученный в периоды уплаты налогоплательщиком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 При этом величина убытка, указанного в настоящем абзаце, определяется как отрицательная величина от суммы убытков и прибылей до налогообложения по данным финансовой отчетности контролируемой иностранной компании за периоды уплаты налогоплательщиком налога на доходы физических лиц с фиксированной прибыли.</w:t>
      </w:r>
    </w:p>
    <w:p>
      <w:pPr>
        <w:spacing w:after="120"/>
        <w:ind w:firstLine="709"/>
      </w:pPr>
      <w:r>
        <w:rPr>
          <w:sz w:val="24"/>
        </w:rPr>
        <w:t xml:space="preserve">Определение величины и документальное подтверждение прибыли (убытка) в целях настоящего пункта осуществляются на основании совокупности положений настоящей статьи и статьи 25.15 настоящего Кодекса.</w:t>
      </w:r>
    </w:p>
    <w:p>
      <w:pPr>
        <w:spacing w:after="120"/>
        <w:ind w:firstLine="709"/>
      </w:pPr>
      <w:r>
        <w:rPr>
          <w:sz w:val="24"/>
        </w:rPr>
        <w:t xml:space="preserve">(п. 12 введен Федеральным законом от 09.11.2020 N 368-ФЗ)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309.1</dc:title>
  <dc:creator>АРБИТРАЖ! · arbi.ru</dc:creator>
  <cp:lastModifiedBy>АРБИТРАЖ!</cp:lastModifiedBy>
  <dcterms:created xsi:type="dcterms:W3CDTF">2026-10-22T20:26:19.458Z</dcterms:created>
</cp:coreProperties>
</file>