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310.2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306-ФЗ)</w:t>
      </w:r>
    </w:p>
    <w:p>
      <w:pPr>
        <w:spacing w:after="120"/>
        <w:ind w:firstLine="709"/>
      </w:pPr>
      <w:r>
        <w:rPr>
          <w:sz w:val="24"/>
        </w:rPr>
        <w:t xml:space="preserve">1. При проверке правильности исчисления и уплаты суммы налога налоговым агентом в соответствии со статьей 310.1 настоящего Кодекса в ходе проведения камеральной налоговой проверки, и (или) выездной налоговой проверки, и (или) налогового мониторинга налоговые органы вправе запрашивать в порядке, предусмотренном настоящим Кодексом,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копии документов, подтверждающих государственную регистрацию и полное наименование организации, осуществлявшей на дату, определенную решением российской организации о выплате дохода по ценным бумагам, права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организации);</w:t>
      </w:r>
    </w:p>
    <w:p>
      <w:pPr>
        <w:spacing w:after="120"/>
        <w:ind w:firstLine="709"/>
      </w:pPr>
      <w:r>
        <w:rPr>
          <w:sz w:val="24"/>
        </w:rPr>
        <w:t xml:space="preserve">2) копии документов, подтверждающих государственную регистрацию и полное наименование организации, в интересах которой доверительный управляющий осуществлял на дату, определенную решением российской организации о выплате дохода по ценным бумагам, права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организации);</w:t>
      </w:r>
    </w:p>
    <w:p>
      <w:pPr>
        <w:spacing w:after="120"/>
        <w:ind w:firstLine="709"/>
      </w:pPr>
      <w:r>
        <w:rPr>
          <w:sz w:val="24"/>
        </w:rPr>
        <w:t xml:space="preserve">3) копии и оригиналы документов, подтверждающих осуществление организацией на дату, определенную решением российской организации о выплате дохода, прав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организации), а в случае применения пониженных налоговых ставок или освобождения от налогообложения, предусмотренных настоящим Кодексом или международными договорами Российской Федерации по вопросам налогообложения, также документы, подтверждающие налоговое резидентство такой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копии и оригиналы документов, подтверждающих осуществление доверительным управляющим на дату, определенную решением российской организации о выплате дохода по ценным бумагам, прав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 в интересах организации, а также документы, подтверждающие налоговое резидентство такой организации;</w:t>
      </w:r>
    </w:p>
    <w:p>
      <w:pPr>
        <w:spacing w:after="120"/>
        <w:ind w:firstLine="709"/>
      </w:pPr>
      <w:r>
        <w:rPr>
          <w:sz w:val="24"/>
        </w:rPr>
        <w:t xml:space="preserve">5) иные документы, подтверждающие правильность исчисления и уплаты налога, в том числе документы, подтверждающие достоверность информации, представленной иностранными организациями, действующими в интересах третьих лиц.</w:t>
      </w:r>
    </w:p>
    <w:p>
      <w:pPr>
        <w:spacing w:after="120"/>
        <w:ind w:firstLine="709"/>
      </w:pPr>
      <w:r>
        <w:rPr>
          <w:sz w:val="24"/>
        </w:rPr>
        <w:t xml:space="preserve">2. Требование о представлении документов, указанных в пункте 1 настоящей статьи, направляется налоговому агенту, который осуществил исчисление, удержание и уплату соответствующего налога, в порядке, предусмотренном статьей 93 настоящего Кодекса. В случае отсутствия истребуемых информации и (или) документов налоговый агент направляет иностранным организациям, действующим в интересах третьих лиц, которым была осуществлена выплата дохода по ценным бумагам российских организаций, запрос о представлении таких документов.</w:t>
      </w:r>
    </w:p>
    <w:p>
      <w:pPr>
        <w:spacing w:after="120"/>
        <w:ind w:firstLine="709"/>
      </w:pPr>
      <w:r>
        <w:rPr>
          <w:sz w:val="24"/>
        </w:rPr>
        <w:t xml:space="preserve">3. Документы, истребованные в соответствии с настоящей статьей, подлежат представлению в налоговый орган не позднее трех месяцев со дня получения налоговым агентом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Срок представления документов, истребованных в соответствии с настоящей статьей, может быть продлен решением налогового органа, но не более чем на три месяца.</w:t>
      </w:r>
    </w:p>
    <w:p>
      <w:pPr>
        <w:spacing w:after="120"/>
        <w:ind w:firstLine="709"/>
      </w:pPr>
      <w:r>
        <w:rPr>
          <w:sz w:val="24"/>
        </w:rPr>
        <w:t xml:space="preserve">4. Документы, указанные в пункте 1 настоящей статьи, также могут быть запрошены налоговым органом у уполномоченного органа иностранного государства в случаях, предусмотренных международными договорами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310.2</dc:title>
  <dc:creator>АРБИТРАЖ! · arbi.ru</dc:creator>
  <cp:lastModifiedBy>АРБИТРАЖ!</cp:lastModifiedBy>
  <dcterms:created xsi:type="dcterms:W3CDTF">2026-10-22T20:08:33.019Z</dcterms:created>
</cp:coreProperties>
</file>