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316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Доходы от реализации определяются по видам деятельности в случае, если для данного вида деятельности предусмотрен иной порядок налогообложения, применяется иная ставка налога либо предусмотрен иной отличный от общего порядок учета прибыли и убытка, полученного от данного вида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Сумма выручки от реализации определяется в соответствии со статьей 249 настоящего Кодекса с учетом положений статьи 251 настоящего Кодекса на дату признания доходов и расходов в соответствии с выбранным налогоплательщиком методом признания доходов и расходов для целей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В случае, если цена реализуемого товара (работ, услуг), имущественных прав выражена в валюте иностранного государства, сумма выручки от реализации пересчитывается в рубли на дату реализации. В случае получения аванса, задатка налогоплательщиком, определяющим доходы и расходы по методу начисления, сумма выручки от реализации в части, приходящейся на аванс, задаток, определяется по официальному курсу, установленному Центральным банком Российской Федерации на дату получения аванса, задатка.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28.12.2010 N 395-ФЗ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Часть четвертая утратила силу. - Федеральный закон от 20.04.2014 N 81-ФЗ.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если реализация производится через комиссионера, то налогоплательщик-комитент определяет сумму выручки от реализации на дату реализации на основании извещения комиссионера о реализации принадлежащего комитенту имущества (имущественных прав). При этом комиссионер обязан в течение трех дней с момента окончания отчетного периода, в котором произошла такая реализация, известить комитента о дате реализации принадлежавшего ему имущества.</w:t>
      </w:r>
    </w:p>
    <w:p>
      <w:pPr>
        <w:spacing w:after="120"/>
        <w:ind w:firstLine="709"/>
      </w:pPr>
      <w:r>
        <w:rPr>
          <w:sz w:val="24"/>
        </w:rPr>
        <w:t xml:space="preserve">Если при реализации расчеты производятся на условиях предоставления товарного кредита , то сумма выручки определяется также на дату реализации и включает в себя сумму процентов, начисленных за период от момента отгрузки до момента перехода права собственности на товары.</w:t>
      </w:r>
    </w:p>
    <w:p>
      <w:pPr>
        <w:spacing w:after="120"/>
        <w:ind w:firstLine="709"/>
      </w:pPr>
      <w:r>
        <w:rPr>
          <w:sz w:val="24"/>
        </w:rPr>
        <w:t xml:space="preserve">Проценты, начисленные за пользование товарным кредитом с момента перехода права собственности на товары до момента полного расчета по обязательствам, включаются в состав внереализационных доходов.</w:t>
      </w:r>
    </w:p>
    <w:p>
      <w:pPr>
        <w:spacing w:after="120"/>
        <w:ind w:firstLine="709"/>
      </w:pPr>
      <w:r>
        <w:rPr>
          <w:sz w:val="24"/>
        </w:rPr>
        <w:t xml:space="preserve">По производствам с длительным (более одного налогового периода) технологическим циклом в случае, если условиями заключенных договоров не предусмотрена поэтапная сдача работ (услуг), доход от реализации указанных работ (услуг) распределяется налогоплательщиком самостоятельно с учетом принципа равномерности признания дохода на основании данных учета. При этом принципы и методы, в соответствии с которыми распределяется доход от реализации, должны быть утверждены налогоплательщиком в учетной политике для целей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(часть восьмая введена Федеральным законом от 31.12.2002 N 191-ФЗ)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316</dc:title>
  <dc:creator>АРБИТРАЖ! · arbi.ru</dc:creator>
  <cp:lastModifiedBy>АРБИТРАЖ!</cp:lastModifiedBy>
  <dcterms:created xsi:type="dcterms:W3CDTF">2026-10-22T22:36:02.226Z</dcterms:created>
</cp:coreProperties>
</file>