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318 НК РФ</w:t>
      </w:r>
    </w:p>
    <w:p>
      <w:pPr>
        <w:spacing w:after="120"/>
        <w:ind w:firstLine="709"/>
      </w:pPr>
      <w:r>
        <w:rPr>
          <w:sz w:val="24"/>
        </w:rPr>
        <w:t xml:space="preserve">- Можно ли в целях налога на прибыль произвольно отнести к косвенным расходам затраты, непосредственно связанные с производством и реализацией</w:t>
      </w:r>
    </w:p>
    <w:p>
      <w:pPr>
        <w:spacing w:after="120"/>
        <w:ind w:firstLine="709"/>
      </w:pPr>
      <w:r>
        <w:rPr>
          <w:sz w:val="24"/>
        </w:rPr>
        <w:t xml:space="preserve">1. Если налогоплательщик определяет доходы и расходы по методу начисления, расходы на производство и реализацию определяются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расходы на производство и реализацию, осуществленные в течение отчетного (налогового) периода, подразделяются на:</w:t>
      </w:r>
    </w:p>
    <w:p>
      <w:pPr>
        <w:spacing w:after="120"/>
        <w:ind w:firstLine="709"/>
      </w:pPr>
      <w:r>
        <w:rPr>
          <w:sz w:val="24"/>
        </w:rPr>
        <w:t xml:space="preserve">1) прямые;</w:t>
      </w:r>
    </w:p>
    <w:p>
      <w:pPr>
        <w:spacing w:after="120"/>
        <w:ind w:firstLine="709"/>
      </w:pPr>
      <w:r>
        <w:rPr>
          <w:sz w:val="24"/>
        </w:rPr>
        <w:t xml:space="preserve">2) косвенные.</w:t>
      </w:r>
    </w:p>
    <w:p>
      <w:pPr>
        <w:spacing w:after="120"/>
        <w:ind w:firstLine="709"/>
      </w:pPr>
      <w:r>
        <w:rPr>
          <w:sz w:val="24"/>
        </w:rPr>
        <w:t xml:space="preserve">К прямым расходам могут быть отнесены, в частности: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материальные затраты, определяемые в соответствии с подпунктами 1 и 4 пункта 1 статьи 254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труда персонала, участвующего в процессе производства товаров, выполнения работ, оказания услуг, а также расходы на обязательное пенсионное страхование, на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24.07.2009 N 213-ФЗ , от 29.06.2015 N 177-ФЗ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начисленной амортизации по основным средствам, используемым при производстве товаров, работ,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косвенным расходам относятся все иные суммы расходов, за исключением внереализационных расходов, определяемых в соответствии со статьей 265 настоящего Кодекса, осуществляемых налогоплательщиком в течение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самостоятельно определяет в учетной политике для целей налогообложения перечень прямых расходов, связанных с производством товаров (выполнением работ, оказанием услуг).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2. При этом сумма косвенных расходов на производство и реализацию, осуществленных в отчетном (налоговом) периоде, в полном объеме относится к расходам текущего отчетного (налогового) периода с учетом требований, предусмотренных настоящим Кодексом. В аналогичном порядке включаются в расходы текущего периода внереализационные расходы.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Прямые расходы относятся к расходам текущего отчетного (налогового) периода по мере реализации продукции, работ, услуг, в стоимости которых они учтены в соответствии со статьей 319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оказывающие услуги, вправе относить сумму прямых расходов, осуществленных в отчетном (налоговом) периоде, в полном объеме на уменьшение доходов от производства и реализации данного отчетного (налогового) периода без распределения на остатки незавершенного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06.06.2005 N 58-ФЗ)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отношении отдельных видов расходов в соответствии с настоящей главой предусмотрены ограничения по размеру расходов, принимаемых для целей налогообложения, то база для исчисления предельной суммы таких расходов определяется нарастающим итогом с начала налогового периода. При этом по расходам налогоплательщика, связанным с добровольным страхованием (пенсионным обеспечением) своих работников, для определения предельной суммы расходов учитывается срок действия договора в налоговом периоде, начиная с даты вступления такого договора в силу.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29.05.2002 N 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318</dc:title>
  <dc:creator>АРБИТРАЖ! · arbi.ru</dc:creator>
  <cp:lastModifiedBy>АРБИТРАЖ!</cp:lastModifiedBy>
  <dcterms:created xsi:type="dcterms:W3CDTF">2026-10-22T16:47:22.788Z</dcterms:created>
</cp:coreProperties>
</file>