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318 НК РФ</w:t>
      </w:r>
    </w:p>
    <w:p>
      <w:pPr>
        <w:spacing w:after="120"/>
        <w:ind w:firstLine="709"/>
      </w:pPr>
      <w:r>
        <w:rPr>
          <w:sz w:val="24"/>
        </w:rPr>
        <w:t xml:space="preserve">- Можно ли в целях налога на прибыль произвольно отнести к косвенным расходам затраты, непосредственно связанные с производством и реализацией</w:t>
      </w:r>
    </w:p>
    <w:p>
      <w:pPr>
        <w:spacing w:after="120"/>
        <w:ind w:firstLine="709"/>
      </w:pPr>
      <w:r>
        <w:rPr>
          <w:sz w:val="24"/>
        </w:rPr>
        <w:t xml:space="preserve">1. Если налогоплательщик определяет доходы и расходы по методу начисления, расходы на производство и реализацию определяются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расходы на производство и реализацию, осуществленные в течение отчетного (налогового) периода, подразделяются на:</w:t>
      </w:r>
    </w:p>
    <w:p>
      <w:pPr>
        <w:spacing w:after="120"/>
        <w:ind w:firstLine="709"/>
      </w:pPr>
      <w:r>
        <w:rPr>
          <w:sz w:val="24"/>
        </w:rPr>
        <w:t xml:space="preserve">1) прямые;</w:t>
      </w:r>
    </w:p>
    <w:p>
      <w:pPr>
        <w:spacing w:after="120"/>
        <w:ind w:firstLine="709"/>
      </w:pPr>
      <w:r>
        <w:rPr>
          <w:sz w:val="24"/>
        </w:rPr>
        <w:t xml:space="preserve">2) косвенные.</w:t>
      </w:r>
    </w:p>
    <w:p>
      <w:pPr>
        <w:spacing w:after="120"/>
        <w:ind w:firstLine="709"/>
      </w:pPr>
      <w:r>
        <w:rPr>
          <w:sz w:val="24"/>
        </w:rPr>
        <w:t xml:space="preserve">К прямым расходам могут быть отнесены, в частности: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материальные затраты, определяемые в соответствии с подпунктами 1 и 4 пункта 1 статьи 254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расходы на оплату труда персонала, участвующего в процессе производства товаров, выполнения работ, оказания услуг, а также расходы на обязательное пенсионное страхование, на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, от 24.07.2009 N 213-ФЗ , от 29.06.2015 N 177-ФЗ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начисленной амортизации по основным средствам, используемым при производстве товаров, работ,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косвенным расходам относятся все иные суммы расходов, за исключением внереализационных расходов, определяемых в соответствии со статьей 265 настоящего Кодекса, осуществляемых налогоплательщиком в течение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самостоятельно определяет в учетной политике для целей налогообложения перечень прямых расходов, связанных с производством товаров (выполнением работ, оказанием услуг).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06.06.2005 N 58-ФЗ)</w:t>
      </w:r>
    </w:p>
    <w:p>
      <w:pPr>
        <w:spacing w:after="120"/>
        <w:ind w:firstLine="709"/>
      </w:pPr>
      <w:r>
        <w:rPr>
          <w:sz w:val="24"/>
        </w:rPr>
        <w:t xml:space="preserve">2. При этом сумма косвенных расходов на производство и реализацию, осуществленных в отчетном (налоговом) периоде, в полном объеме относится к расходам текущего отчетного (налогового) периода с учетом требований, предусмотренных настоящим Кодексом. В аналогичном порядке включаются в расходы текущего периода внереализационные расходы.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Прямые расходы относятся к расходам текущего отчетного (налогового) периода по мере реализации продукции, работ, услуг, в стоимости которых они учтены в соответствии со статьей 319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оказывающие услуги, вправе относить сумму прямых расходов, осуществленных в отчетном (налоговом) периоде, в полном объеме на уменьшение доходов от производства и реализации данного отчетного (налогового) периода без распределения на остатки незавершенного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06.06.2005 N 58-ФЗ)</w:t>
      </w:r>
    </w:p>
    <w:p>
      <w:pPr>
        <w:spacing w:after="120"/>
        <w:ind w:firstLine="709"/>
      </w:pPr>
      <w:r>
        <w:rPr>
          <w:sz w:val="24"/>
        </w:rPr>
        <w:t xml:space="preserve">3. В случае, если в отношении отдельных видов расходов в соответствии с настоящей главой предусмотрены ограничения по размеру расходов, принимаемых для целей налогообложения, то база для исчисления предельной суммы таких расходов определяется нарастающим итогом с начала налогового периода. При этом по расходам налогоплательщика, связанным с добровольным страхованием (пенсионным обеспечением) своих работников, для определения предельной суммы расходов учитывается срок действия договора в налоговом периоде, начиная с даты вступления такого договора в силу.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29.05.2002 N 57-ФЗ)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318</dc:title>
  <dc:creator>АРБИТРАЖ! · arbi.ru</dc:creator>
  <cp:lastModifiedBy>АРБИТРАЖ!</cp:lastModifiedBy>
  <dcterms:created xsi:type="dcterms:W3CDTF">2026-10-22T18:05:50.232Z</dcterms:created>
</cp:coreProperties>
</file>