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320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 Налог на прибыль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06.06.2005 N 58-ФЗ)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Путеводитель по налогам. Вопросы применения ст. 320 НК РФ</w:t>
      </w:r>
    </w:p>
    <w:p>
      <w:pPr>
        <w:spacing w:after="120"/>
        <w:ind w:firstLine="709"/>
      </w:pPr>
      <w:r>
        <w:rPr>
          <w:sz w:val="24"/>
        </w:rPr>
        <w:t xml:space="preserve">- К какому виду расходов относятся затраты на транспортировку, если товары отправляются транзитом покупателю</w:t>
      </w:r>
    </w:p>
    <w:p>
      <w:pPr>
        <w:spacing w:after="120"/>
        <w:ind w:firstLine="709"/>
      </w:pPr>
      <w:r>
        <w:rPr>
          <w:sz w:val="24"/>
        </w:rPr>
        <w:t xml:space="preserve">Налогоплательщики, осуществляющие оптовую, мелкооптовую и розничную торговлю, формируют расходы на реализацию (далее в настоящей статье - издержки обращения) с учетом следующих особенностей.</w:t>
      </w:r>
    </w:p>
    <w:p>
      <w:pPr>
        <w:spacing w:after="120"/>
        <w:ind w:firstLine="709"/>
      </w:pPr>
      <w:r>
        <w:rPr>
          <w:sz w:val="24"/>
        </w:rPr>
        <w:t xml:space="preserve">В течение текущего месяца издержки обращения формируются в соответствии с настоящей главой. При этом в сумму издержек обращения включаются также расходы налогоплательщика - покупателя товаров на доставку этих товаров, складские расходы и иные расходы текущего месяца, связанные с приобретением, если они не учтены в стоимости приобретения товаров, и реализацией этих товаров. К издержкам обращения не относится стоимость приобретения товаров по цене, установленной условиями договора. При этом налогоплательщик имеет право сформировать стоимость приобретения товаров с учетом расходов, связанных с приобретением этих товаров. Указанная стоимость товаров учитывается при их реализации в соответствии с подпунктом 3 пункта 1 статьи 268 настоящего Кодекса. Стоимость приобретения товаров, отгруженных, но не реализованных на конец месяца, не включается налогоплательщиком в состав расходов, связанных с производством и реализацией, до момента их реализации. Порядок формирования стоимости приобретения товаров определяется налогоплательщиком в учетной политике для целей налогообложения и применяется в течение не менее двух налоговых периодов.</w:t>
      </w:r>
    </w:p>
    <w:p>
      <w:pPr>
        <w:spacing w:after="120"/>
        <w:ind w:firstLine="709"/>
      </w:pPr>
      <w:r>
        <w:rPr>
          <w:sz w:val="24"/>
        </w:rPr>
        <w:t xml:space="preserve">Расходы текущего месяца разделяются на прямые и косвенные. К прямым расходам относятся стоимость приобретения товаров, реализованных в данном отчетном (налоговом) периоде, и суммы расходов на доставку (транспортные расходы) покупных товаров до склада налогоплательщика - покупателя товаров в случае, если эти расходы не включены в цену приобретения указанных товаров. Все остальные расходы, за исключением внереализационных расходов, определяемых в соответствии со статьей 265 настоящего Кодекса, осуществленные в текущем месяце, признаются косвенными расходами и уменьшают доходы от реализации текущего месяца. Сумма прямых расходов в части транспортных расходов, относящаяся к остаткам нереализованных товаров, определяется по среднему проценту за текущий месяц с учетом переходящего остатка на начало месяца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определяется сумма прямых расходов, приходящихся на остаток нереализованных товаров на начало месяца и осуществленных в текущем месяце;</w:t>
      </w:r>
    </w:p>
    <w:p>
      <w:pPr>
        <w:spacing w:after="120"/>
        <w:ind w:firstLine="709"/>
      </w:pPr>
      <w:r>
        <w:rPr>
          <w:sz w:val="24"/>
        </w:rPr>
        <w:t xml:space="preserve">2) определяется стоимость приобретения товаров, реализованных в текущем месяце, и стоимость приобретения остатка нереализованных товаров на конец месяца;</w:t>
      </w:r>
    </w:p>
    <w:p>
      <w:pPr>
        <w:spacing w:after="120"/>
        <w:ind w:firstLine="709"/>
      </w:pPr>
      <w:r>
        <w:rPr>
          <w:sz w:val="24"/>
        </w:rPr>
        <w:t xml:space="preserve">3) рассчитывается средний процент как отношение суммы прямых расходов ( пункт 1 настоящей части) к стоимости товаров ( пункт 2 настоящей части);</w:t>
      </w:r>
    </w:p>
    <w:p>
      <w:pPr>
        <w:spacing w:after="120"/>
        <w:ind w:firstLine="709"/>
      </w:pPr>
      <w:r>
        <w:rPr>
          <w:sz w:val="24"/>
        </w:rPr>
        <w:t xml:space="preserve">4) определяется сумма прямых расходов, относящаяся к остатку нереализованных товаров, как произведение среднего процента и стоимости остатка товаров на конец месяца.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320</dc:title>
  <dc:creator>АРБИТРАЖ! · arbi.ru</dc:creator>
  <cp:lastModifiedBy>АРБИТРАЖ!</cp:lastModifiedBy>
  <dcterms:created xsi:type="dcterms:W3CDTF">2026-10-22T22:36:21.274Z</dcterms:created>
</cp:coreProperties>
</file>