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 1-е число налогового периода, с начала которого учетной политикой для целей налогообложения установлено изменение метода начисления амортизации, организации в налоговом учете определяют остаточную стоимость объектов амортизируемого имущества.</w:t>
      </w:r>
    </w:p>
    <w:p>
      <w:pPr>
        <w:spacing w:after="120"/>
        <w:ind w:firstLine="709"/>
      </w:pPr>
      <w:r>
        <w:rPr>
          <w:sz w:val="24"/>
        </w:rPr>
        <w:t xml:space="preserve">При установлении в учетной политике для целей налогообложения нелинейного метода начисления амортизации в целях определения суммарного баланса амортизационных групп (подгрупп) остаточная стоимость объектов амортизируемого имущества, за исключением объектов, амортизация по которым начисляется линейным методом в соответствии с пунктом 3 статьи 259 настоящего Кодекса, определяется исходя из срока их полезного использования, установленного при введении данных объектов в эксплуатацию, на 1-е число налогового периода, с начала которого учетной политикой для целей налогообложения установлено применение нелинейного метода начисления амортизации.</w:t>
      </w:r>
    </w:p>
    <w:p>
      <w:pPr>
        <w:spacing w:after="120"/>
        <w:ind w:firstLine="709"/>
      </w:pPr>
      <w:r>
        <w:rPr>
          <w:sz w:val="24"/>
        </w:rPr>
        <w:t xml:space="preserve">Сумма начисленной за один месяц амортизации по объектам амортизируемого имущества определяется следующим образом:</w:t>
      </w:r>
    </w:p>
    <w:p>
      <w:pPr>
        <w:spacing w:after="120"/>
        <w:ind w:firstLine="709"/>
      </w:pPr>
      <w:r>
        <w:rPr>
          <w:sz w:val="24"/>
        </w:rPr>
        <w:t xml:space="preserve">1) при применении нелинейного метода начисления амортизации в составе амортизационных групп (подгрупп) - как произведение суммарного баланса соответствующей амортизационной группы (подгруппы) на 1-е число месяца, за который определяется сумма начисленной амортизации, и нормы амортизации, установленной пунктом 5 статьи 259.2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при применении линейного метода начисления амортизации - как произведение первоначальной (восстановительной) стоимости и нормы амортизации, установленной налогоплательщиком для указанного имущества в соответствии с пунктом 2 статьи 259.1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 основным средствам, переведенным по решению руководства организации на консервацию продолжительностью свыше трех месяцев, а также по основным средствам, находящимся по решению руководства организации на реконструкции (модернизации) свыше 12 месяцев, начиная с 1-го числа месяца, следующего за месяцем, в котором указанные основные средства были переведены на консервацию или с которого они находятся на реконструкции (модернизации), начисление амортизации не производится.</w:t>
      </w:r>
    </w:p>
    <w:p>
      <w:pPr>
        <w:spacing w:after="120"/>
        <w:ind w:firstLine="709"/>
      </w:pPr>
      <w:r>
        <w:rPr>
          <w:sz w:val="24"/>
        </w:rPr>
        <w:t xml:space="preserve">При расконсервации, завершении реконструкции (модернизации) объекта основных средств амортизация по нему начисляется с 1-го числа месяца, следующего за месяцем, в котором произошла расконсервация основного средства или завершилась его реконструкция (модернизация).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При внесении изменений в учетную политику для целей налогообложения в соответствии с пунктом 1 статьи 259 настоящего Кодекса, согласно которым налогоплательщик, применяющий линейный метод начисления амортизации, переходит к применению нелинейного метода начисления амортизации, объекты, амортизация по которым в соответствии с внесенными налогоплательщиком изменениями в учетную политику для целей налогообложения начисляется нелинейным методом, включаются в состав амортизационных групп (подгрупп) в целях определения их суммарного баланса по остаточной стоимости, определенной на 1-е число налогового периода, с начала которого учетной политикой для целей налогообложения установлено применение нелинейного метода начисления амортизации.</w:t>
      </w:r>
    </w:p>
    <w:p>
      <w:pPr>
        <w:spacing w:after="120"/>
        <w:ind w:firstLine="709"/>
      </w:pPr>
      <w:r>
        <w:rPr>
          <w:sz w:val="24"/>
        </w:rPr>
        <w:t xml:space="preserve">При этом указанные в настоящем пункте объекты амортизируемого имущества в целях определения суммарного баланса амортизационных групп включаются в состав этих групп исходя из срока полезного использования таких объектов, установленного при введении их в эксплуатацию.</w:t>
      </w:r>
    </w:p>
    <w:p>
      <w:pPr>
        <w:spacing w:after="120"/>
        <w:ind w:firstLine="709"/>
      </w:pPr>
      <w:r>
        <w:rPr>
          <w:sz w:val="24"/>
        </w:rPr>
        <w:t xml:space="preserve">При внесении указанных в настоящем пункте изменений в учетную политику для целей налогообложения амортизационные подгруппы, предусмотренные пунктом 13 статьи 258 настоящего Кодекса, создаются в составе амортизационных групп, сформированных в соответствии с порядком, установленным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4. При внесении изменений в учетную политику для целей налогообложения в соответствии с пунктом 1 статьи 259 настоящего Кодекса, согласно которым налогоплательщик, применяющий нелинейный метод начисления амортизации, переходит к применению линейного метода начисления амортизации, налогоплательщик в соответствии со статьей 257 настоящего Кодекса определяет остаточную стоимость объектов амортизируемого имущества на 1-е число налогового периода, с начала которого учетной политикой для целей налогообложения установлено применение линейного метода начисления амортизации.</w:t>
      </w:r>
    </w:p>
    <w:p>
      <w:pPr>
        <w:spacing w:after="120"/>
        <w:ind w:firstLine="709"/>
      </w:pPr>
      <w:r>
        <w:rPr>
          <w:sz w:val="24"/>
        </w:rPr>
        <w:t xml:space="preserve">При этом норма амортизации для каждого объекта амортизируемого имущества определяется в соответствии с пунктом 2 статьи 259.1 настоящего Кодекса исходя из оставшегося срока полезного использования объекта амортизируемого имущества, определенного на 1-е число налогового периода, с начала которого учетной политикой для целей налогообложения установлено применение линейного метода начисления амортизации.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322</dc:title>
  <dc:creator>АРБИТРАЖ! · arbi.ru</dc:creator>
  <cp:lastModifiedBy>АРБИТРАЖ!</cp:lastModifiedBy>
  <dcterms:created xsi:type="dcterms:W3CDTF">2026-10-22T14:08:43.342Z</dcterms:created>
</cp:coreProperties>
</file>