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определяет прибыль (убыток) от реализации или выбытия амортизируемого имущества на основании аналитического учета по каждому объекту на дату признания дохода (расхода).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Учет доходов и расходов по амортизируемому имуществу ведется пообъектно, за исключением начисленной амортизации по объектам амортизируемого имущества при применении нелинейного метода начисления амортизации.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22.07.2008 N 158-ФЗ)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Аналитический учет должен содержать информацию:</w:t>
      </w:r>
    </w:p>
    <w:p>
      <w:pPr>
        <w:spacing w:after="120"/>
        <w:ind w:firstLine="709"/>
      </w:pPr>
      <w:r>
        <w:rPr>
          <w:sz w:val="24"/>
        </w:rPr>
        <w:t xml:space="preserve">о первоначальной стоимости амортизируемого имущества, реализованного (выбывшего) в отчетном (налоговом) периоде;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изменениях первоначальной стоимости таких основных средств при достройке, дооборудовании, реконструкции, частичной ликвидации;</w:t>
      </w:r>
    </w:p>
    <w:p>
      <w:pPr>
        <w:spacing w:after="120"/>
        <w:ind w:firstLine="709"/>
      </w:pPr>
      <w:r>
        <w:rPr>
          <w:sz w:val="24"/>
        </w:rPr>
        <w:t xml:space="preserve">о принятых организацией сроках полезного использования основных средств и нематериальных активов;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сумме начисленной амортизации по амортизируемым основным средствам и нематериальным активам за период с даты начала начисления амортизации до конца месяца, в котором такое имущество реализовано (выбыло), - для объектов, амортизация по которым начисляется линейным методом;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сумме начисленной амортизации и суммарном балансе каждой амортизационной группы и каждой амортизационной подгруппы (при применении нелинейного метода начисления амортизации);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158-ФЗ)</w:t>
      </w:r>
    </w:p>
    <w:p>
      <w:pPr>
        <w:spacing w:after="120"/>
        <w:ind w:firstLine="709"/>
      </w:pPr>
      <w:r>
        <w:rPr>
          <w:sz w:val="24"/>
        </w:rPr>
        <w:t xml:space="preserve">об остаточной стоимости объектов амортизируемого имущества, входящих в амортизационные группы (подгруппы), определенной в соответствии с пунктом 1 статьи 257 настоящего Кодекса, - при выбытии объектов амортизируемого имущества;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158-ФЗ)</w:t>
      </w:r>
    </w:p>
    <w:p>
      <w:pPr>
        <w:spacing w:after="120"/>
        <w:ind w:firstLine="709"/>
      </w:pPr>
      <w:r>
        <w:rPr>
          <w:sz w:val="24"/>
        </w:rPr>
        <w:t xml:space="preserve">о цене реализации амортизируемого имущества исходя из условий договора купли-продажи;</w:t>
      </w:r>
    </w:p>
    <w:p>
      <w:pPr>
        <w:spacing w:after="120"/>
        <w:ind w:firstLine="709"/>
      </w:pPr>
      <w:r>
        <w:rPr>
          <w:sz w:val="24"/>
        </w:rPr>
        <w:t xml:space="preserve">о дате приобретения и дате реализации (выбытия) имущества;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дате передачи имущества в эксплуатацию, о дате исключения из состава амортизируемого имущества по основаниям, предусмотренным пунктом 3 статьи 256 настоящего Кодекса, о дате расконсервации имущества, о дате окончания договора безвозмездного пользования, о дате завершения работ по реконструкции, о дате модернизации;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о понесенных налогоплательщиком расходах, связанных с реализацией (выбытием) амортизируемого имущества, в частности расходах, предусмотренных подпунктом 8 пункта 1 статьи 265 настоящего Кодекса, а также расходах по хранению, обслуживанию и транспортировке реализованного (выбывшего)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дату совершения операции налогоплательщик определяет в соответствии с пунктом 3 статьи 268 настоящего Кодекса прибыль (убыток) от реализации амортизируемого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аналитическом учете на дату реализации амортизируемого имущества фиксируется сумма прибыли (убытка) по указанной операции, которая в целях определения налоговой базы учитывается в следующем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Прибыль, полученная налогоплательщиком, подлежит включению в состав налоговой базы в том отчетном периоде, в котором была осуществлена реализация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Убыток, полученный налогоплательщиком, отражается в аналитическом учете как прочие расходы налогоплательщика в соответствии с порядком, установленным статьей 268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Аналитический учет должен содержать информацию о наименовании объектов, в отношении которых имеются суммы таких расходов, количестве месяцев, в течение которых такие расходы могут быть включены в состав прочих расходов, связанных с производством и реализацией, и сумме расходов, приходящейся на каждый месяц. Срок определяется в месяцах и исчисляется в виде разницы между количеством месяцев срока полезного использования этого имущества и количеством месяцев эксплуатации имущества до момента его реализации, включая месяц, в котором имущество было реализовано.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323</dc:title>
  <dc:creator>АРБИТРАЖ! · arbi.ru</dc:creator>
  <cp:lastModifiedBy>АРБИТРАЖ!</cp:lastModifiedBy>
  <dcterms:created xsi:type="dcterms:W3CDTF">2026-10-22T22:03:48.385Z</dcterms:created>
</cp:coreProperties>
</file>