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326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pPr>
        <w:spacing w:after="120"/>
        <w:ind w:firstLine="709"/>
      </w:pPr>
      <w:r>
        <w:rPr>
          <w:sz w:val="24"/>
        </w:rPr>
        <w:t xml:space="preserve">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pPr>
        <w:spacing w:after="120"/>
        <w:ind w:firstLine="709"/>
      </w:pPr>
      <w:r>
        <w:rPr>
          <w:sz w:val="24"/>
        </w:rPr>
        <w:t xml:space="preserve">по поставочным срочным сделкам;</w:t>
      </w:r>
    </w:p>
    <w:p>
      <w:pPr>
        <w:spacing w:after="120"/>
        <w:ind w:firstLine="709"/>
      </w:pPr>
      <w:r>
        <w:rPr>
          <w:sz w:val="24"/>
        </w:rPr>
        <w:t xml:space="preserve">по расчетным срочным сделкам.</w:t>
      </w:r>
    </w:p>
    <w:p>
      <w:pPr>
        <w:spacing w:after="120"/>
        <w:ind w:firstLine="709"/>
      </w:pPr>
      <w:r>
        <w:rPr>
          <w:sz w:val="24"/>
        </w:rPr>
        <w:t xml:space="preserve">Требования (обязательства) по производным финансовым инструментам,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pPr>
        <w:spacing w:after="120"/>
        <w:ind w:firstLine="709"/>
      </w:pPr>
      <w:r>
        <w:rPr>
          <w:sz w:val="24"/>
        </w:rPr>
        <w:t xml:space="preserve">Налоговая база определяется налогоплательщиком на дату исполнения срочной сделки с учетом положений настоящей главы.</w:t>
      </w:r>
    </w:p>
    <w:p>
      <w:pPr>
        <w:spacing w:after="120"/>
        <w:ind w:firstLine="709"/>
      </w:pPr>
      <w:r>
        <w:rPr>
          <w:sz w:val="24"/>
        </w:rPr>
        <w:t xml:space="preserve">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соответствии с условиями его заключения и определяет сумму доходов (расходов), подлежащих включению в налоговую базу.</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составляется налогоплательщиком по каждой операции хеджирования отдельно и содержит следующие данные:</w:t>
      </w:r>
    </w:p>
    <w:p>
      <w:pPr>
        <w:spacing w:after="120"/>
        <w:ind w:firstLine="709"/>
      </w:pPr>
      <w:r>
        <w:rPr>
          <w:sz w:val="24"/>
        </w:rPr>
        <w:t xml:space="preserve">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pPr>
        <w:spacing w:after="120"/>
        <w:ind w:firstLine="709"/>
      </w:pPr>
      <w:r>
        <w:rPr>
          <w:sz w:val="24"/>
        </w:rPr>
        <w:t xml:space="preserve">объем, дату и цену сделки (сделок) с объектом хеджирования (для ожидаемых (планируемых) сделок - объем, дату, цену и иные существенные условия сделки);</w:t>
      </w:r>
    </w:p>
    <w:p>
      <w:pPr>
        <w:spacing w:after="120"/>
        <w:ind w:firstLine="709"/>
      </w:pPr>
      <w:r>
        <w:rPr>
          <w:sz w:val="24"/>
        </w:rPr>
        <w:t xml:space="preserve">объем, дату и цену сделки (сделок)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может содержать и иные сведения на усмотрение налогоплательщика, подтверждающие совершение операции в целях хеджирования.</w:t>
      </w:r>
    </w:p>
    <w:p>
      <w:pPr>
        <w:spacing w:after="120"/>
        <w:ind w:firstLine="709"/>
      </w:pPr>
      <w:r>
        <w:rPr>
          <w:sz w:val="24"/>
        </w:rPr>
        <w:t xml:space="preserve">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pPr>
        <w:spacing w:after="120"/>
        <w:ind w:firstLine="709"/>
      </w:pPr>
      <w:r>
        <w:rPr>
          <w:sz w:val="24"/>
        </w:rPr>
        <w:t xml:space="preserve">С учетом положений настоящей статьи и статей 301 - 305 настоящего 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326</dc:title>
  <dc:creator>АРБИТРАЖ! · arbi.ru</dc:creator>
  <cp:lastModifiedBy>АРБИТРАЖ!</cp:lastModifiedBy>
  <dcterms:created xsi:type="dcterms:W3CDTF">2026-10-22T22:00:29.097Z</dcterms:created>
</cp:coreProperties>
</file>