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326</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по операциям с производными финансовыми инструментами определяет налоговую базу на основании данных регистров налогового учета.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Данные регистров налогового учета должны отражать порядок формирования суммы доходов (расходов) по срочным сделкам, учитываемым для целей налогообложения.</w:t>
      </w:r>
    </w:p>
    <w:p>
      <w:pPr>
        <w:spacing w:after="120"/>
        <w:ind w:firstLine="709"/>
      </w:pPr>
      <w:r>
        <w:rPr>
          <w:sz w:val="24"/>
        </w:rPr>
        <w:t xml:space="preserve">Аналитический учет требований (обязательств) по производным финансовым инструментам налогоплательщики обязаны вести по каждому виду производных финансовых инструментов. Аналитический учет прав требований (обязательств) ведется раздельно по операциям с производными финансовыми инструментами, обращающимися на организованном рынке, по операциям с производными финансовыми инструментами, не обращающимися на организованном рынке, а также по операциям, совершенным в целях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Данные регистров налогового учета должны содержать в денежном выражении суммы требований (обязательств) налогоплательщика к контрагентам в соответствии с условиями заключенных договоров:</w:t>
      </w:r>
    </w:p>
    <w:p>
      <w:pPr>
        <w:spacing w:after="120"/>
        <w:ind w:firstLine="709"/>
      </w:pPr>
      <w:r>
        <w:rPr>
          <w:sz w:val="24"/>
        </w:rPr>
        <w:t xml:space="preserve">по поставочным срочным сделкам;</w:t>
      </w:r>
    </w:p>
    <w:p>
      <w:pPr>
        <w:spacing w:after="120"/>
        <w:ind w:firstLine="709"/>
      </w:pPr>
      <w:r>
        <w:rPr>
          <w:sz w:val="24"/>
        </w:rPr>
        <w:t xml:space="preserve">по расчетным срочным сделкам.</w:t>
      </w:r>
    </w:p>
    <w:p>
      <w:pPr>
        <w:spacing w:after="120"/>
        <w:ind w:firstLine="709"/>
      </w:pPr>
      <w:r>
        <w:rPr>
          <w:sz w:val="24"/>
        </w:rPr>
        <w:t xml:space="preserve">Требования (обязательства) по производным финансовым инструментам, как обращающимся, так и не обращающимся на организованном рынке, не подлежат текущей переоценке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с учетом положений настоящей статьи.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учитывают в составе налоговой базы изменение текущей стоимости производных финансовых инструментов, обращающихся на организованном рынке, в размере денежных сумм, рассчитанных биржей (клиринговой организацией). Указанное требование не распространяется на производные финансовые инструменты, в соответствии с условиями которых исполнение обязанности одной стороны производного финансового инструмента возникает в случае предъявления требований другой стороной указанной сделки, в том числе в зависимости от обстоятельств, в отношении которых заранее неизвестно, наступят они или не наступят.</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Требования (обязательства) по сделкам, квалифицированным как сделки на поставку предмета сделки с отсрочкой исполнения, также не подлежат текущей переоценке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с учетом положений настоящей статьи.</w:t>
      </w:r>
    </w:p>
    <w:p>
      <w:pPr>
        <w:spacing w:after="120"/>
        <w:ind w:firstLine="709"/>
      </w:pPr>
      <w:r>
        <w:rPr>
          <w:sz w:val="24"/>
        </w:rPr>
        <w:t xml:space="preserve">Налогоплательщик на дату заключения сделки отражает в аналитическом учете сумму возникших требований (обязательств) к контрагентам, исходя из условий сделки и требований (обязательств) в отношении базисного актива (в том числе товаров, денежных средств, драгоценных металлов, ценных бумаг, процентных ставок).</w:t>
      </w:r>
    </w:p>
    <w:p>
      <w:pPr>
        <w:spacing w:after="120"/>
        <w:ind w:firstLine="709"/>
      </w:pPr>
      <w:r>
        <w:rPr>
          <w:sz w:val="24"/>
        </w:rPr>
        <w:t xml:space="preserve">Налоговая база определяется налогоплательщиком на дату исполнения срочной сделки с учетом положений настоящей главы.</w:t>
      </w:r>
    </w:p>
    <w:p>
      <w:pPr>
        <w:spacing w:after="120"/>
        <w:ind w:firstLine="709"/>
      </w:pPr>
      <w:r>
        <w:rPr>
          <w:sz w:val="24"/>
        </w:rPr>
        <w:t xml:space="preserve">При поставке ценных бумаг, обращающихся на организованном рынке и являющихся базисным активом производного финансового инструмента, финансовый результат от операций с таким базисным активом определяется исходя из фактической цены поставки базисного актива в соответствии с условиями, на которых осуществляется исполнение производного финансового инструмента.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Если по условиям производного финансового инструмента или срочной сделки, квалифицированной как сделка на поставку предмета сделки с отсрочкой исполнения, предусмотрено проведение промежуточных расчетов (за исключением авансов), в том числе при изменении стоимостной оценки требований (обязательств)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налогоплательщик определяет доходы (расходы) на каждую дату проведения таких расчетов в соответствии с условиями указанной сделки.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Премия по опционному контракту в соответствии с соглашением сторон независимо от его квалификации как производного финансового инструмента или как сделки с отсрочкой исполнения признается в соответствующих доходах (расходах) единовременно на дату осуществления расчетов по опционной премии в соответствии с условиями договора для налогоплательщиков, применяющих метод начисления, независимо от того, исполнен или не исполнен опционный контракт, а также независимо от вида базисного актива.</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При наступлении срока исполнения производного финансового инструмента налогоплательщик производит оценку требований и обязательств на дату его исполнения в соответствии с условиями его заключения и определяет сумму доходов (расходов), подлежащих включению в налоговую базу.</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выделяет для отдельного налогового учета операции с производными финансовыми инструментами, совершенные в целях компенсации возможных убытков, возникающих в результате неблагоприятного изменения цены или иного показателя базисного актива (объекта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Справка составляется налогоплательщиком по каждой операции хеджирования отдельно и содержит следующие данные:</w:t>
      </w:r>
    </w:p>
    <w:p>
      <w:pPr>
        <w:spacing w:after="120"/>
        <w:ind w:firstLine="709"/>
      </w:pPr>
      <w:r>
        <w:rPr>
          <w:sz w:val="24"/>
        </w:rPr>
        <w:t xml:space="preserve">описание операции хеджирования, включающее наименование объекта хеджирования, типы страхуемых рисков (ценовой, валютный, кредитный, процентный или другие подобные риски), планируемые действия относительно объекта хеджирования (покупка, продажа, иные действия), производные финансовые инструменты, которые планируется использовать, условия исполнения сделок;</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дату начала операции хеджирования, дату ее окончания и (или) ее продолжительность, промежуточные условия расчета. Дата начала операции хеджирования может устанавливаться путем закрепления порядка ее определения;</w:t>
      </w:r>
    </w:p>
    <w:p>
      <w:pPr>
        <w:spacing w:after="120"/>
        <w:ind w:firstLine="709"/>
      </w:pPr>
      <w:r>
        <w:rPr>
          <w:sz w:val="24"/>
        </w:rPr>
        <w:t xml:space="preserve">объем, дату и цену сделки (сделок) с объектом хеджирования (для ожидаемых (планируемых) сделок - объем, дату, цену и иные существенные условия сделки);</w:t>
      </w:r>
    </w:p>
    <w:p>
      <w:pPr>
        <w:spacing w:after="120"/>
        <w:ind w:firstLine="709"/>
      </w:pPr>
      <w:r>
        <w:rPr>
          <w:sz w:val="24"/>
        </w:rPr>
        <w:t xml:space="preserve">объем, дату и цену сделки (сделок) с производными финансовыми инструментами.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Справка может содержать и иные сведения на усмотрение налогоплательщика, подтверждающие совершение операции в целях хеджирования.</w:t>
      </w:r>
    </w:p>
    <w:p>
      <w:pPr>
        <w:spacing w:after="120"/>
        <w:ind w:firstLine="709"/>
      </w:pPr>
      <w:r>
        <w:rPr>
          <w:sz w:val="24"/>
        </w:rPr>
        <w:t xml:space="preserve">Если объектом хеджирования являются требования (обязательства), вытекающие из совокупности сделок, а также если объектом хеджирования является имущество налогоплательщика, дата начала и дата окончания операции хеджирования определяются налогоплательщиком самостоятельно на основании прогноза показателей объекта хеджирования.</w:t>
      </w:r>
    </w:p>
    <w:p>
      <w:pPr>
        <w:spacing w:after="120"/>
        <w:ind w:firstLine="709"/>
      </w:pPr>
      <w:r>
        <w:rPr>
          <w:sz w:val="24"/>
        </w:rPr>
        <w:t xml:space="preserve">С учетом положений настоящей статьи и статей 301 - 305 настоящего Кодекса доходы (расходы), связанные с производными финансовыми инструментами, заключенными в целях компенсации неблагоприятных последствий, которые могут возникнуть для налогоплательщиков в результате изменения цены, курса валюты, значений процентных ставок, фондовых индексов или иных показателей объекта хеджирования, учитываются на конец отчетного (налогового) периода и на дату исполнения сделки (сделок) независимо от даты возникновения доходов (расходов), связанных с объектом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По окончании операции хеджирования доходы (расходы), связанные с производными финансовыми инструментами, определяются с учетом доходов (расходов), учтенных в налоговой базе в предыдущих налоговых периодах.</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Если объектом хеджирования являются требования (обязательства) по конкретной сделке, в случае ее досрочного расторжения (прекращения по иным основаниям) доходы (расходы), связанные с производными финансовыми инструментами, определяются на конец отчетного (налогового) периода, в котором произошло досрочное расторжение сделки (ее прекращение по иным основаниям) с объектом хеджирования, или на дату исполнения сделки (сделок), если указанная дата исполнения наступила ранее отчетной даты периода, и включаются в налоговую базу, при расчете которой учитываются доходы (расходы), связанные с объектом хеджирования. При этом доходы (расходы), связанные с производными финансовыми инструментами, возникающие после отчетной даты периода, в котором произошло досрочное расторжение указанной конкретной сделки, учитываются при определении налоговой базы с производными финансовыми инструментами с учетом доходов (расходов), учтенных ранее в налоговой базе по операциям, связанным с объектом хеджирования.</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Доходы (расходы), связанные с досрочным расторжением производных финансовых инструментов (их прекращением по иным основаниям), используемых для операции хеджирования, учитываются в том же порядке и в той же налоговой базе, в которых учитываются доходы (расходы) по производным финансовым инструментам, используемым в целях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Допускается превышение объема базисного актива производного финансового инструмента, обращающегося на организованном рынке и совершенного в целях хеджирования (инструмента хеджирования), над объемом объекта хеджирования в рамках одного инструмента хеджирования, если такое превышение обусловлено стандартизацией биржей объема базисного актива производного финансового инструмента.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Превышение на конец отчетного (налогового) периода или на дату исполнения сделки расходов по производным финансовым инструментам, совершенных в целях хеджирования, а также расходов, понесенных в связи с соответствующими операциями хеджирования, над доходами по таким производным финансовым инструментам не влечет переквалификации операции хеджирования в обычные операции с производными финансовыми инструментами.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определения доходов (расходов), учитываемых в налоговой базе, налогоплательщик вправе в учетной политике для целей налогообложения предусмотреть возможность осуществления текущей переоценки производных финансовых инструментов, используемых в целях хеджирования, в зависимости от изменения рыночной цены, рыночной котировки, курса валюты, значения процентной ставки, фондового индекса или иных показателей, характеризующих базисный актив, при условии, что объект хеджирования подлежит переоценке в соответствии с требованиями настоящего Кодекса. При этом доходы (расходы) в результате такой переоценки определяются на конец отчетного (налогового) периода в зависимости от изменения показателей, определенных в учетной политике для целей налогообложения, по отношению к соответствующим показателям, закрепленным производным финансовым инструментом.</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производит оценку требований (обязательств) на дату исполнения производного финансового инструмента в соответствии с ее условиями и определяет сумму доходов (расходов) с учетом сумм, ранее учтенных для целей налогообложения в составе доходов (расходов).</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По производным финансовым инструментам, предусматривающим куплю-продажу иностранной валюты, либо драгоценных металлов, либо ценных бумаг, номинированных в иностранной валюте, налогоплательщик на дату исполнения сделки определяет доходы (расходы) с учетом курсовых разниц, определенных как разница между закрепленным договором курсом иностранной валюты, по которому производится исполнение сделки, и установленным Центральным банком Российской Федерации официальным курсом иностранной валюты к рублю Российской Федерации и официальных цен на драгоценные металлы на дату исполнения сделки.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326</dc:title>
  <dc:creator>АРБИТРАЖ! · arbi.ru</dc:creator>
  <cp:lastModifiedBy>АРБИТРАЖ!</cp:lastModifiedBy>
  <dcterms:created xsi:type="dcterms:W3CDTF">2026-10-22T22:31:38.848Z</dcterms:created>
</cp:coreProperties>
</file>