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329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Доходом по операциям с ценными бумагами признается выручка от продажи ценных бумаг в соответствии с условиями договора реализации.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Доходы и расходы по операциям с ценными бумагами признаются в соответствии с порядком, установленным статьей 271 или статьей 273 настоящего Кодекса, в зависимости от применяемого налогоплательщиком порядка признания доходов и расходов.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реализации ценных бумаг расходом признается цена приобретения реализованных ценных бумаг, рассчитанная с учетом установленного налогоплательщиком метода учета ценных бумаг (ФИФО, по стоимости единицы).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28.12.2013 N 420-ФЗ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в цену реализации государственных и муниципальных ценных бумаг, обращающихся на организованном рынке ценных бумаг, включается часть накопленного купонного дохода, то сумма дохода и расхода по таким ценным бумагам исчисляется без накопленного купонного дохода.</w:t>
      </w:r>
    </w:p>
    <w:p>
      <w:pPr>
        <w:spacing w:after="120"/>
        <w:ind w:firstLine="709"/>
      </w:pPr>
      <w:r>
        <w:rPr>
          <w:sz w:val="24"/>
        </w:rPr>
        <w:t xml:space="preserve">Прибыль (убыток) от реализации ценных бумаг при реализации ценных бумаг, обращающихся на организованном рынке ценных бумаг, и ценных бумаг, не обращающихся на организованном рынке ценных бумаг, в налоговом учете учитывается раздельно.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Процентный доход по государственным и муниципальным ценным бумагам, по которым предусмотрено исключение из цены сделки части накопленного процентного дохода, определяется на дату реализации на основании договора купли-продажи с учетом положений статьи 328 настоящего Кодекса и подлежит отражению в налоговом учете на основании справки ответственного лица, которое исчисляет прибыль (доход) по операциям с ценными бумагами.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Часть седьмая утратила силу. - Федеральный закон от 31.07.2023 N 389-ФЗ.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Банки и профессиональные участники рынка ценных бумаг вправе вести налоговый учет поступлений и выбытия ценных бумаг по соответствующим портфелям ценных бумаг, сформированным в зависимости от срока и целей их приобретения, в соответствии с требованиями Центрального банка Российской Федерации и (или) Министерства финансов Российской Федерации и применять один из методов, указанных в статье 280 настоящего Кодекса, в отношении каждого портфеля ценных бумаг. При этом порядок такого учета должен быть закреплен в учетной политике налогоплательщика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(часть восьмая введена Федеральным законом от 28.12.2013 N 420-ФЗ)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329</dc:title>
  <dc:creator>АРБИТРАЖ! · arbi.ru</dc:creator>
  <cp:lastModifiedBy>АРБИТРАЖ!</cp:lastModifiedBy>
  <dcterms:created xsi:type="dcterms:W3CDTF">2026-10-22T16:08:28.457Z</dcterms:created>
</cp:coreProperties>
</file>