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Налогоплательщики-банки ведут налоговый учет доходов и расходов, полученных от (понесенных при) осуществления банковской деятельности, на основании отражения операций и сделок в аналитическом учете в соответствии с установленным настоящей главой порядком признания дохода и расхода.</w:t>
      </w:r>
    </w:p>
    <w:p>
      <w:pPr>
        <w:spacing w:after="120"/>
        <w:ind w:firstLine="709"/>
      </w:pPr>
      <w:r>
        <w:rPr>
          <w:sz w:val="24"/>
        </w:rPr>
        <w:t xml:space="preserve">Аналитический учет доходов и расходов, полученных (понесенных) в виде процентов по долговым обязательствам, ведется в соответствии с порядком, предусмотренным статьей 328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Доходы и расходы по хозяйственным и другим операциям, относящимся к будущим отчетным периодам, по которым были произведены в текущем отчетном периоде авансовые платежи, учитываются в сумме средств, подлежащих отнесению на расходы при наступлении того отчетного периода, к которому они относятся. Аналитический учет доходов и расходов по хозяйственным операциям ведется в разрезе каждого договора с отражением даты и суммы полученного (выплаченного) аванса и периода, в течение которого указанная сумма относится на доходы и расходы.</w:t>
      </w:r>
    </w:p>
    <w:p>
      <w:pPr>
        <w:spacing w:after="120"/>
        <w:ind w:firstLine="709"/>
      </w:pPr>
      <w:r>
        <w:rPr>
          <w:sz w:val="24"/>
        </w:rPr>
        <w:t xml:space="preserve">Комиссионные сборы за услуги по корреспондентским отношениям, уплаченные налогоплательщиком, расходы по расчетно-кассовому обслуживанию, открытию счетов в других банках и другим аналогичным операциям относятся на расходы на дату совершения операции, если в соответствии с договором предусмотрены расчеты по каждой конкретной операции, либо на последнее число отчетного (налогового) периода. В аналогичном порядке налогоплательщиком ведется учет по доходам, связанным с осуществлением операций по расчетно-кассовому обслуживанию клиентов, корреспондентским отношениям и другим аналогичным операциям.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27.07.2006 N 137-ФЗ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Часть пятая утратила силу. - Федеральный закон от 28.11.2015 N 328-ФЗ.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Часть шестая утратила силу. - Федеральный закон от 28.12.2010 N 395-ФЗ.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сделкам, связанным с операцией купли-продажи драгоценных камней, налогоплательщик отражает в налоговом учете количественную и стоимостную (масса и цена) характеристику приобретенных и реализованных драгоценных камней. Переоценка покупной стоимости драгоценных камней на прейскурантные цены не признается доходом (расходом) налогоплательщика. При выбытии реализованных драгоценных камней доход (убыток) определяется в виде разницы между ценой реализации и учетной стоимостью. Под учетной стоимостью понимается цена приобретения драгоценных камней.</w:t>
      </w:r>
    </w:p>
    <w:p>
      <w:pPr>
        <w:spacing w:after="120"/>
        <w:ind w:firstLine="709"/>
      </w:pPr>
      <w:r>
        <w:rPr>
          <w:sz w:val="24"/>
        </w:rPr>
        <w:t xml:space="preserve">Аналитический учет ведется по каждому договору купли-продажи драгоценных камней. В аналитическом учете отражаются даты совершения операций купли-продажи, цена покупки, цена продажи, количественные и качественные характеристики драгоценных камней.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331</dc:title>
  <dc:creator>АРБИТРАЖ! · arbi.ru</dc:creator>
  <cp:lastModifiedBy>АРБИТРАЖ!</cp:lastModifiedBy>
  <dcterms:created xsi:type="dcterms:W3CDTF">2026-10-22T19:06:51.092Z</dcterms:created>
</cp:coreProperties>
</file>