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25.11.2009 N 281-ФЗ)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Аналитический учет операций РЕПО ведется на отдельно выделенных для этих целей аналитических регистрах налогового учета в отношении каждой операции, для денежных средств в иностранной валюте - в двойной оценке: в иностранной валюте и рублях.</w:t>
      </w:r>
    </w:p>
    <w:p>
      <w:pPr>
        <w:spacing w:after="120"/>
        <w:ind w:firstLine="709"/>
      </w:pPr>
      <w:r>
        <w:rPr>
          <w:sz w:val="24"/>
        </w:rPr>
        <w:t xml:space="preserve">Учет стоимости ценных бумаг, подлежащих передаче при исполнении второй части РЕПО, осуществляет налогоплательщик, являющийся продавцом по первой части РЕПО.</w:t>
      </w:r>
    </w:p>
    <w:p>
      <w:pPr>
        <w:spacing w:after="120"/>
        <w:ind w:firstLine="709"/>
      </w:pPr>
      <w:r>
        <w:rPr>
          <w:sz w:val="24"/>
        </w:rPr>
        <w:t xml:space="preserve">Покупатель по первой части РЕПО осуществляет учет стоимости ценных бумаг за период с даты приобретения ценных бумаг по первой части РЕПО по дату их реализации по второй части РЕПО.</w:t>
      </w:r>
    </w:p>
    <w:p>
      <w:pPr>
        <w:spacing w:after="120"/>
        <w:ind w:firstLine="709"/>
      </w:pPr>
      <w:r>
        <w:rPr>
          <w:sz w:val="24"/>
        </w:rPr>
        <w:t xml:space="preserve">В аналитическом учете отражаются дата реализации (приобретения) и стоимость реализованных (приобретенных) ценных бумаг по первой части РЕПО, дата приобретения (реализации) и стоимость ценных бумаг, подлежащих приобретению (реализации) при исполнении второй части РЕПО.</w:t>
      </w:r>
    </w:p>
    <w:p>
      <w:pPr>
        <w:spacing w:after="120"/>
        <w:ind w:firstLine="709"/>
      </w:pPr>
      <w:r>
        <w:rPr>
          <w:sz w:val="24"/>
        </w:rPr>
        <w:t xml:space="preserve">В случаях, если объектом операции РЕПО выступают ценные бумаги, номинированные в иностранной валюте, возникающие у покупателя (продавца) по первой части РЕПО обязательства (требования) по их обратному выкупу не подлежат переоценке в связи с изменением официальных курсов иностранных валют к рублю Российской Федерации, установленных Центральным банком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Обязательства (требования) по денежным средствам в иностранной валюте по второй части РЕПО, когда доходы (расходы) по операции РЕПО рассматриваются в соответствии с пунктами 3 и 4 статьи 282 настоящего Кодекса как проценты по займу, предоставленному (полученному) ценными бумагами, подлежат переоценке, проводимой в связи с изменением официального курса иностранной валюты к рублю Российской Федерации, установленного Центральным банком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Обязательства (требования) по денежным средствам в иностранной валюте по возврату (получению) привлеченных (размещенных) средств в случаях, если доходы (расходы) по операции РЕПО признаются в соответствии с пунктами 3 и 4 статьи 282 настоящего Кодекса как проценты по размещенным (привлеченным) средствам, подлежат переоценке, проводимой в связи с изменением официального курса иностранной валюты к рублю Российской Федерации, установленного Центральным банком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(часть седьмая введена Федеральным законом от 28.12.2013 N 420-ФЗ)</w:t>
      </w:r>
    </w:p>
    <w:p>
      <w:pPr>
        <w:spacing w:after="120"/>
        <w:ind w:firstLine="709"/>
      </w:pPr>
      <w:r>
        <w:rPr>
          <w:sz w:val="24"/>
        </w:rPr>
        <w:t xml:space="preserve">Сумма денежных обязательств (требований), подлежащих переоценке в связи с изменением официального курса иностранной валюты к рублю Российской Федерации, установленного Центральным банком Российской Федерации, может быть изменена, если в соответствии с условиями договора репо выплаты эмитента по ценным бумагам либо предусмотренные договором денежные расчеты в случае изменения цены ценных бумаг или в иных случаях, предусмотренных договором репо, в период между датами исполнения первой и второй частей РЕПО уменьшают сумму денежных средств, подлежащих уплате продавцом по первой части РЕПО при последующем приобретении ценных бумаг по второй части РЕПО.</w:t>
      </w:r>
    </w:p>
    <w:p>
      <w:pPr>
        <w:spacing w:after="120"/>
        <w:ind w:firstLine="709"/>
      </w:pPr>
      <w:r>
        <w:rPr>
          <w:sz w:val="24"/>
        </w:rPr>
        <w:t xml:space="preserve">Результат указанной переоценки учитывается в составе внереализационных доходов (расходов) организации.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</dc:title>
  <dc:creator>АРБИТРАЖ! · arbi.ru</dc:creator>
  <cp:lastModifiedBy>АРБИТРАЖ!</cp:lastModifiedBy>
  <dcterms:created xsi:type="dcterms:W3CDTF">2026-10-22T13:15:17.752Z</dcterms:created>
</cp:coreProperties>
</file>