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25.1. Сборы за пользование объектами животного мира и за пользование объектами водных биологических ресурсов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Объектами обложения признаются:</w:t>
      </w:r>
    </w:p>
    <w:p>
      <w:pPr>
        <w:spacing w:after="120"/>
        <w:ind w:firstLine="709"/>
      </w:pPr>
      <w:r>
        <w:rPr>
          <w:sz w:val="24"/>
        </w:rPr>
        <w:t xml:space="preserve">объекты животного мира в соответствии с перечнем, установленным пунктом 1 статьи 333.3 настоящего Кодекса, изъятие которых из среды их обитания осуществляется на основании разрешения на добычу объектов животного мира, выдаваемого в соответствии с законодательством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24.07.2009 N 209-ФЗ)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объекты водных биологических ресурсов в соответствии с перечнем, установленным пунктами 4 и 5 статьи 333.3 настоящего Кодекса, изъятие которых из среды их обитания осуществляется на основании разрешения на добычу (вылов) водных биологических ресурсов, выдаваемого в соответствии с законодательством Российской Федерации, в том числе объекты водных биологических ресурсов, подлежащие изъятию из среды их обитания в качестве разрешенного прилова.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29.11.2007 N 285-ФЗ , от 30.12.2008 N 314-ФЗ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целях настоящей главы не признаются объектами обложения объекты животного мира и объекты водных биологических ресурсов, пользование которыми осуществляется для удовлетворения личных нужд представителями коренных малочисленных народов Севера, Сибири и Дальнего Востока Российской Федерации (по перечню , утверждаемому Правительством Российской Федерации) и лицами, не относящимися к коренным малочисленным народам, но постоянно проживающими в местах их традиционного проживания и традиционной хозяйственной деятельности, для которых охота и рыболовство являются основой существования. Такое право распространяется только на количество (объем) объектов животного мира и объектов водных биологических ресурсов, добываемых для удовлетворения личных нужд, в местах традиционного проживания и традиционной хозяйственной деятельности данной категории плательщиков. Лимиты использования объектов животного мира и лимиты и квоты на добычу (вылов) водных биологических ресурсов для удовлетворения личных нужд устанавливаются органами исполнительной власти субъектов Российской Федерации по согласованию с уполномоченными федеральными органами исполнительной власти.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06.12.2007 N 333-ФЗ)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333.2</dc:title>
  <dc:creator>АРБИТРАЖ! · arbi.ru</dc:creator>
  <cp:lastModifiedBy>АРБИТРАЖ!</cp:lastModifiedBy>
  <dcterms:created xsi:type="dcterms:W3CDTF">2026-10-22T20:20:48.936Z</dcterms:created>
</cp:coreProperties>
</file>