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каждому виду водопользования, признаваемому объектом налогообложения в соответствии со статьей 333.9 настоящего Кодекса, налоговая база определяется налогоплательщиком отдельно в отношении каждого водного объекта.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отношении водного объекта установлены различные налоговые ставки, налоговая база определяется налогоплательщиком применительно к каждой налоговой ставке.</w:t>
      </w:r>
    </w:p>
    <w:p>
      <w:pPr>
        <w:spacing w:after="120"/>
        <w:ind w:firstLine="709"/>
      </w:pPr>
      <w:r>
        <w:rPr>
          <w:sz w:val="24"/>
        </w:rPr>
        <w:t xml:space="preserve">2. При заборе воды налоговая база определяется как объем воды, забранной из водного объекта за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Объем воды, забранной из водного объекта, определяется на основании показаний водоизмерительных приборов, отражаемых в журнале первичного учета использования воды.</w:t>
      </w:r>
    </w:p>
    <w:p>
      <w:pPr>
        <w:spacing w:after="120"/>
        <w:ind w:firstLine="709"/>
      </w:pPr>
      <w:r>
        <w:rPr>
          <w:sz w:val="24"/>
        </w:rPr>
        <w:t xml:space="preserve">В случае отсутствия водоизмерительных приборов объем забранной воды определяется исходя из времени работы и производительности технических средств. В случае невозможности определения объема забранной воды исходя из времени работы и производительности технических средств объем забранной воды определяется исходя из норм водопотребления.</w:t>
      </w:r>
    </w:p>
    <w:p>
      <w:pPr>
        <w:spacing w:after="120"/>
        <w:ind w:firstLine="709"/>
      </w:pPr>
      <w:r>
        <w:rPr>
          <w:sz w:val="24"/>
        </w:rPr>
        <w:t xml:space="preserve">3. При использовании акватории водных объектов, за исключением сплава древесины в плотах и кошелях, налоговая база определяется как площадь предоставленного водного пространства.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Площадь предоставленного водного пространства определяется по данным лицензии на водопользование (договора на водопользование), а в случае отсутствия в лицензии (договоре) таких данных по материалам соответствующей технической и проектной документации.</w:t>
      </w:r>
    </w:p>
    <w:p>
      <w:pPr>
        <w:spacing w:after="120"/>
        <w:ind w:firstLine="709"/>
      </w:pPr>
      <w:r>
        <w:rPr>
          <w:sz w:val="24"/>
        </w:rPr>
        <w:t xml:space="preserve">4. 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электроэнергии.</w:t>
      </w:r>
    </w:p>
    <w:p>
      <w:pPr>
        <w:spacing w:after="120"/>
        <w:ind w:firstLine="709"/>
      </w:pPr>
      <w:r>
        <w:rPr>
          <w:sz w:val="24"/>
        </w:rPr>
        <w:t xml:space="preserve">5. При использовании водных объектов для целей сплава древесины в плотах и кошелях налоговая база определяется как произведение объема древесины, сплавляемой в плотах и кошелях за налоговый период, выраженного в тысячах кубических метров, и расстояния сплава, выраженного в километрах, деленного на 100.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333.10</dc:title>
  <dc:creator>АРБИТРАЖ! · arbi.ru</dc:creator>
  <cp:lastModifiedBy>АРБИТРАЖ!</cp:lastModifiedBy>
  <dcterms:created xsi:type="dcterms:W3CDTF">2026-10-22T20:22:46.420Z</dcterms:created>
</cp:coreProperties>
</file>