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333.13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25.2. Водный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Налогоплательщик исчисляет сумму налога самостоятельно.</w:t>
      </w:r>
    </w:p>
    <w:p>
      <w:pPr>
        <w:spacing w:after="120"/>
        <w:ind w:firstLine="709"/>
      </w:pPr>
      <w:r>
        <w:rPr>
          <w:sz w:val="24"/>
        </w:rPr>
        <w:t xml:space="preserve">2. Сумма налога исчисляется как произведение налоговой базы и соответствующей ей налоговой ставки, умноженной на коэффициент (коэффициенты), установленный (установленные) статьей 333.12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24.11.2014 N 366-ФЗ)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Общая сумма налога представляет собой сумму, полученную в результате сложения сумм налога, исчисленных в соответствии с пунктом 2 настоящей статьи в отношении всех видов водопользования.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333.13</dc:title>
  <dc:creator>АРБИТРАЖ! · arbi.ru</dc:creator>
  <cp:lastModifiedBy>АРБИТРАЖ!</cp:lastModifiedBy>
  <dcterms:created xsi:type="dcterms:W3CDTF">2026-10-22T20:24:58.297Z</dcterms:created>
</cp:coreProperties>
</file>