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333.14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25.2. Водный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Общая сумма налога, исчисленная в соответствии с пунктом 3 статьи 333.13 настоящего Кодекса, уплачивается по местонахождению объекта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2. Налог подлежит уплате в срок не позднее 28-го числа месяца, следующего за истекшим налоговым периодом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333.14</dc:title>
  <dc:creator>АРБИТРАЖ! · arbi.ru</dc:creator>
  <cp:lastModifiedBy>АРБИТРАЖ!</cp:lastModifiedBy>
  <dcterms:created xsi:type="dcterms:W3CDTF">2026-10-22T23:05:18.792Z</dcterms:created>
</cp:coreProperties>
</file>