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333.17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Плательщиками государственной пошлины (далее в настоящей главе - плательщики) признаются:</w:t>
      </w:r>
    </w:p>
    <w:p>
      <w:pPr>
        <w:spacing w:after="120"/>
        <w:ind w:firstLine="709"/>
      </w:pPr>
      <w:r>
        <w:rPr>
          <w:sz w:val="24"/>
        </w:rPr>
        <w:t xml:space="preserve">1) организации;</w:t>
      </w:r>
    </w:p>
    <w:p>
      <w:pPr>
        <w:spacing w:after="120"/>
        <w:ind w:firstLine="709"/>
      </w:pPr>
      <w:r>
        <w:rPr>
          <w:sz w:val="24"/>
        </w:rPr>
        <w:t xml:space="preserve">2) физические лица.</w:t>
      </w:r>
    </w:p>
    <w:p>
      <w:pPr>
        <w:spacing w:after="120"/>
        <w:ind w:firstLine="709"/>
      </w:pPr>
      <w:r>
        <w:rPr>
          <w:sz w:val="24"/>
        </w:rPr>
        <w:t xml:space="preserve">2. Указанные в пункте 1 настоящей статьи лица признаются плательщиками в случае, если они:</w:t>
      </w:r>
    </w:p>
    <w:p>
      <w:pPr>
        <w:spacing w:after="120"/>
        <w:ind w:firstLine="709"/>
      </w:pPr>
      <w:r>
        <w:rPr>
          <w:sz w:val="24"/>
        </w:rPr>
        <w:t xml:space="preserve">1) обращаются за совершением юридически значимых действий, предусмотренных настоящей главой;</w:t>
      </w:r>
    </w:p>
    <w:p>
      <w:pPr>
        <w:spacing w:after="120"/>
        <w:ind w:firstLine="709"/>
      </w:pPr>
      <w:r>
        <w:rPr>
          <w:sz w:val="24"/>
        </w:rPr>
        <w:t xml:space="preserve">2) выступают ответчиками (административными ответчиками) в судах общей юрисдикции, Верховном Суде Российской Федерации, арбитражных судах или по делам, рассматриваемым мировыми судьями, и если при этом решение суда принято не в их пользу и истец (административный истец) освобожден от уплаты государственной пошлины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08.03.2015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333.17</dc:title>
  <dc:creator>АРБИТРАЖ! · arbi.ru</dc:creator>
  <cp:lastModifiedBy>АРБИТРАЖ!</cp:lastModifiedBy>
  <dcterms:created xsi:type="dcterms:W3CDTF">2026-10-22T20:27:01.064Z</dcterms:created>
</cp:coreProperties>
</file>