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333.18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Сторона арбитражного спора не согласна с признанием госпошлины неуплаченной и ее взысканием или возвратом жалобы (заявления), оставлением ее без движения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копии квитанции (платежного поручения и т.п.) об уплате госпошлины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неуказания в документе об уплате госпошлины надлежащих реквизитов получателя платежа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неуказания (неправильного указания) в документе об уплате госпошлины сведений о деле, за которое она уплачена</w:t>
      </w:r>
    </w:p>
    <w:p>
      <w:pPr>
        <w:spacing w:after="120"/>
        <w:ind w:firstLine="709"/>
      </w:pPr>
      <w:r>
        <w:rPr>
          <w:sz w:val="24"/>
        </w:rPr>
        <w:t xml:space="preserve">1. Плательщики уплачивают государственную пошлину, если иное не установлено настоящей главой,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1) при обращении в Конституционный Суд Российской Федерации, Верховный Суд Российской Федерации, суды общей юрисдикции, арбитражные суды или к мировым судьям - до подачи запроса, ходатайства, заявления, искового заявления, административного искового заявления, жалобы;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плательщики, указанные в подпункте 2 пункта 2 статьи 333.17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в срок, в который подлежит исполнению судебный акт, если такой судебный акт подлежит немедленному исполнению или установлена отсрочка или рассрочка его исполнения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 трехмесячный срок со дня вступления в законную силу решения суда, если плательщиком сбора является бюджетное, казенное или автономное учреждение, если иное не предусмотрено абзацем вторым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в десятидневный срок со дня вступления в законную силу решения суда, если иное не предусмотрено абзацами вторым и третьим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обращении за совершением нотариальных действий - до совершения нотариальных действий;</w:t>
      </w:r>
    </w:p>
    <w:p>
      <w:pPr>
        <w:spacing w:after="120"/>
        <w:ind w:firstLine="709"/>
      </w:pPr>
      <w:r>
        <w:rPr>
          <w:sz w:val="24"/>
        </w:rPr>
        <w:t xml:space="preserve">4) при обращении за выдачей документов (их дубликатов) - до выдачи документов (их дубликатов);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при обращении за проставлением апостиля - до проставления апостиля;</w:t>
      </w:r>
    </w:p>
    <w:p>
      <w:pPr>
        <w:spacing w:after="120"/>
        <w:ind w:firstLine="709"/>
      </w:pPr>
      <w:r>
        <w:rPr>
          <w:sz w:val="24"/>
        </w:rPr>
        <w:t xml:space="preserve">5.1) при обращении за ежегодным подтверждением регистрации судна в Российском международном реестре судов - не позднее 31 марта года, следующего за годом регистрации судна в указанном реестре или за последним годом, в котором было осуществлено такое подтверждение;</w:t>
      </w:r>
    </w:p>
    <w:p>
      <w:pPr>
        <w:spacing w:after="120"/>
        <w:ind w:firstLine="709"/>
      </w:pPr>
      <w:r>
        <w:rPr>
          <w:sz w:val="24"/>
        </w:rPr>
        <w:t xml:space="preserve">(пп. 5.1 введен Федеральным законом от 20.12.2005 N 168-ФЗ)</w:t>
      </w:r>
    </w:p>
    <w:p>
      <w:pPr>
        <w:spacing w:after="120"/>
        <w:ind w:firstLine="709"/>
      </w:pPr>
      <w:r>
        <w:rPr>
          <w:sz w:val="24"/>
        </w:rPr>
        <w:t xml:space="preserve">5.2) при обращении за совершением юридически значимых действий, за исключением юридически значимых действий, указанных в подпунктах 1 - 5.1 , 5.3 настоящего пункта, - до подачи заявлений и (или) документов на совершение таких действий либо в случае, если заявления на совершение таких действий поданы в электронной форме, после подачи указанных заявлений, но до принятия их к рассмотрению;</w:t>
      </w:r>
    </w:p>
    <w:p>
      <w:pPr>
        <w:spacing w:after="120"/>
        <w:ind w:firstLine="709"/>
      </w:pPr>
      <w:r>
        <w:rPr>
          <w:sz w:val="24"/>
        </w:rPr>
        <w:t xml:space="preserve">(пп. 5.2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5.3) при обращении за совершением юридически значимого действия, указанного в подпункте 138 пункта 1 статьи 333.33 настоящего Кодекса, - после подачи заявления и документов на совершение такого действия, но до выдачи федеральных специальных марок;</w:t>
      </w:r>
    </w:p>
    <w:p>
      <w:pPr>
        <w:spacing w:after="120"/>
        <w:ind w:firstLine="709"/>
      </w:pPr>
      <w:r>
        <w:rPr>
          <w:sz w:val="24"/>
        </w:rPr>
        <w:t xml:space="preserve">(пп. 5.3 введен Федеральным законом от 03.08.2018 N 301-ФЗ;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утратил силу с 1 января 2020 года. - Федеральный закон от 29.09.2019 N 325-ФЗ;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при ежегодном подтверждении статуса международной компании - не позднее 31 марта года, следующего за годом регистрации международной компании или за последним годом, в котором было осуществлено такое подтверждение.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26.03.2022 N 66-ФЗ)</w:t>
      </w:r>
    </w:p>
    <w:p>
      <w:pPr>
        <w:spacing w:after="120"/>
        <w:ind w:firstLine="709"/>
      </w:pPr>
      <w:r>
        <w:rPr>
          <w:sz w:val="24"/>
        </w:rPr>
        <w:t xml:space="preserve">2. Государственная пошлина уплачивается плательщиком, если иное не установлено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В случае, если за совершением юридически значимого действия одновременно обратились несколько плательщиков, не имеющих права на льготы, установленные настоящей главой, государственная пошлина уплачивается плательщиками в равных долях .</w:t>
      </w:r>
    </w:p>
    <w:p>
      <w:pPr>
        <w:spacing w:after="120"/>
        <w:ind w:firstLine="709"/>
      </w:pPr>
      <w:r>
        <w:rPr>
          <w:sz w:val="24"/>
        </w:rPr>
        <w:t xml:space="preserve">В случае, если среди лиц, обратившихся за совершением юридически значимого действия, одно лицо (несколько лиц) в соответствии с настоящей главой освобождено (освобождены) от уплаты государственной пошлины, размер государственной пошлины уменьшается пропорционально количеству лиц, освобожденных от ее уплаты в соответствии с настоящей главой. При этом оставшаяся часть суммы государственной пошлины уплачивается лицом (лицами), не освобожденным (не освобожденными) от уплаты государственной пошлины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Особенности уплаты государственной пошлины в зависимости от вида совершаемых юридически значимых действий, категории плательщиков либо от иных обстоятельств устанавливаются статьями 333.20 , 333.22 , 333.25 , 333.27 , 333.29 , 333.32 и 333.34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Государственная пошлина не уплачивается плательщиком в случае внесения изменений в выданный документ, направленных на исправление ошибок, допущенных по вине органа и (или) должностного лица, осуществившего выдачу документа, при совершении этим органом и (или) должностным лицом юридически значимого действия.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27.12.2009 N 374-ФЗ)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пошлина уплачивается по месту совершения юридически значимого действия в наличной или безналичной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31.12.2005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 уплаты государственной пошлины плательщиком в безналичной форме подтверждается платежным поручением с отметкой банка или соответствующего территориального органа Федерального казначейства (иного органа, осуществляющего открытие и ведение счетов), в том числе производящего расчеты в электронной форме, о его исполнении.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 уплаты государственной пошлины плательщиком в наличной форме подтверждается либо квитанцией установленной формы , выдаваемой плательщику банком, либо квитанцией, выдаваемой плательщику должностным лицом или кассой органа, в который производилась оплата.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31.12.2005 N 201-ФЗ , от 24.07.2007 N 216-ФЗ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 уплаты государственной пошлины плательщиком подтверждается также с использованием информации об уплате государственной пошлины, содержащейся в Государственной информационной системе о государственных и муниципальных платежах, предусмотренной Федеральным законом от 27 июля 2010 года N 210-ФЗ "Об организации предоставления государственных и муниципальных услуг".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28.07.2012 N 133-ФЗ)</w:t>
      </w:r>
    </w:p>
    <w:p>
      <w:pPr>
        <w:spacing w:after="120"/>
        <w:ind w:firstLine="709"/>
      </w:pPr>
      <w:r>
        <w:rPr>
          <w:sz w:val="24"/>
        </w:rPr>
        <w:t xml:space="preserve">При наличии информации об уплате государственной пошлины, содержащейся в Государственной информационной системе о государственных и муниципальных платежах, дополнительное подтверждение уплаты плательщиком государственной пошлины не требуется.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28.07.2012 N 133-ФЗ)</w:t>
      </w:r>
    </w:p>
    <w:p>
      <w:pPr>
        <w:spacing w:after="120"/>
        <w:ind w:firstLine="709"/>
      </w:pPr>
      <w:r>
        <w:rPr>
          <w:sz w:val="24"/>
        </w:rPr>
        <w:t xml:space="preserve">4. Иностранные организации, иностранные граждане и лица без гражданства уплачивают государственную пошлину в порядке и размерах, которые установлены настоящей главой соответственно для организаций и физических лиц.</w:t>
      </w:r>
    </w:p>
    <w:p>
      <w:pPr>
        <w:spacing w:after="120"/>
        <w:ind w:firstLine="709"/>
      </w:pPr>
      <w:r>
        <w:rPr>
          <w:sz w:val="24"/>
        </w:rPr>
        <w:t xml:space="preserve">Международные компании уплачивают государственную пошлину в порядке и размерах, установленных настоящей главой для организаций.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26.03.2022 N 66-ФЗ)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января 2020 года.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333.18</dc:title>
  <dc:creator>АРБИТРАЖ! · arbi.ru</dc:creator>
  <cp:lastModifiedBy>АРБИТРАЖ!</cp:lastModifiedBy>
  <dcterms:created xsi:type="dcterms:W3CDTF">2026-10-22T22:36:38.501Z</dcterms:created>
</cp:coreProperties>
</file>