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государственной регистрации актов гражданского состояния или совершении указанных в статье 333.26 настоящего Кодекса действий государственная пошлина уплачивается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при внесении исправлений и (или) изменений в записи актов гражданского состояния на основании заключения органа записи актов гражданского состояния государственная пошлина уплачивается в размере, установленном подпунктом 5 пункта 1 статьи 333.26 настоящего Кодекса, независимо от количества записей актов гражданского состояния, в которые вносятся исправления и (или) изменения, и количества выданных свидетельств;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204-ФЗ)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выдачу свидетельств о государственной регистрации актов гражданского состояния в связи с переменой имени государственная пошлина уплачивается в размере, установленном подпунктом 6 пункта 1 статьи 333.26 настоящего Кодекса, за каждое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2. За выдачу свидетельства о государственной регистрации акта гражданского состояния государственная пошлина не уплачивается, если соответствующая запись акта гражданского состояния восстановлена на основании решения суда.</w:t>
      </w:r>
    </w:p>
    <w:p>
      <w:pPr>
        <w:spacing w:after="120"/>
        <w:ind w:firstLine="709"/>
      </w:pPr>
      <w:r>
        <w:rPr>
          <w:sz w:val="24"/>
        </w:rPr>
        <w:t xml:space="preserve">2.1. За выдачу свидетельства о государственной регистрации актов гражданского состояния и иных документов, подтверждающих факты государственной регистрации актов гражданского состояния, пересылаемых в соответствии с международными договорами Российской Федерации, а также на основании запросов дипломатических представительств и консульских учреждений Российской Федерации, государственная пошлина не уплачивается.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05.04.2010 N 41-ФЗ)</w:t>
      </w:r>
    </w:p>
    <w:p>
      <w:pPr>
        <w:spacing w:after="120"/>
        <w:ind w:firstLine="709"/>
      </w:pPr>
      <w:r>
        <w:rPr>
          <w:sz w:val="24"/>
        </w:rPr>
        <w:t xml:space="preserve">2.2. За внесение изменений в запись акта о рождении в случае дополнения отчества ребенка и места его рождения, если данные сведения не предусматривались формой записи акта о рождении на момент его составления, государственная пошлина не уплачивается.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02.11.2013 N 306-ФЗ)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настоящей статьи применяются с учетом положений статей 333.35 и 333.39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333.27</dc:title>
  <dc:creator>АРБИТРАЖ! · arbi.ru</dc:creator>
  <cp:lastModifiedBy>АРБИТРАЖ!</cp:lastModifiedBy>
  <dcterms:created xsi:type="dcterms:W3CDTF">2026-10-22T20:22:47.422Z</dcterms:created>
</cp:coreProperties>
</file>