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24.07.2007 N 216-ФЗ.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28.12.2017 N 430-ФЗ.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уплачивается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 рекламного характера размер государственной пошлины для соответствующего средства массовой информации увеличивается в пять раз;</w:t>
      </w:r>
    </w:p>
    <w:p>
      <w:pPr>
        <w:spacing w:after="120"/>
        <w:ind w:firstLine="709"/>
      </w:pPr>
      <w:r>
        <w:rPr>
          <w:sz w:val="24"/>
        </w:rPr>
        <w:t xml:space="preserve">2) 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 эротического характера размер государственной пошлины для соответствующего средства массовой информации увеличивается в десять раз;</w:t>
      </w:r>
    </w:p>
    <w:p>
      <w:pPr>
        <w:spacing w:after="120"/>
        <w:ind w:firstLine="709"/>
      </w:pPr>
      <w:r>
        <w:rPr>
          <w:sz w:val="24"/>
        </w:rPr>
        <w:t xml:space="preserve">3) 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специализации), специализирующегося на выпуске продукции для детей, подростков и инвалидов, а также средства массовой информации образовательного и культурно-просветительского назначения размер государственной пошлины для соответствующего средства массовой информации уменьшается в пять раз.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Отнесение средств массовой информации к средствам массовой информации рекламного, эротического характера, к средствам массовой информации, специализирующимся на выпуске продукции для детей, подростков и инвалидов, а также к средствам массовой информации образовательного и культурно-просветительского назначения осуществляется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Государственная пошлина за право использования наименований "Россия", "Российская Федерация"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6. Государственная пошлина за выделение ресурса нумерации уплачивается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25.12.2012 N 253-ФЗ)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случае изменения нумерации государственная пошлина за выделение ресурса нумерации не уплачивается. В случае полного или частичного изъятия ресурса нумерации, выделенного оператору связи, уплаченная им государственная пошлина не возвращается;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25.12.2012 N 253-ФЗ)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реорганизации организации в форме слияния, присоединения,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уплачивается;</w:t>
      </w:r>
    </w:p>
    <w:p>
      <w:pPr>
        <w:spacing w:after="120"/>
        <w:ind w:firstLine="709"/>
      </w:pPr>
      <w:r>
        <w:rPr>
          <w:sz w:val="24"/>
        </w:rPr>
        <w:t xml:space="preserve">3) 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уплачивается;</w:t>
      </w:r>
    </w:p>
    <w:p>
      <w:pPr>
        <w:spacing w:after="120"/>
        <w:ind w:firstLine="709"/>
      </w:pPr>
      <w:r>
        <w:rPr>
          <w:sz w:val="24"/>
        </w:rPr>
        <w:t xml:space="preserve">4) в случае передачи ресурса нумерации в части абонентского номера абонента,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номера, государственная пошлина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25.12.2012 N 253-ФЗ)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333.34-1. Особенности уплаты государственной пошлины за осуществление государственного кадастрового учета объектов недвижимости, в том числе в связи с изменением сведений об объектах недвижимости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при осуществлении государственного кадастрового учета созданных (образованных) здания, сооружения, государственного кадастрового учета и государственной регистрации прав на созданные (образованные) здание, сооружение одновременно осуществляется государственный кадастровый учет всех расположенных в них помещений и (или) машино-мест, в том числе помещений, относящихся к имуществу общего пользования, государственная пошлина, предусмотренная подпунктами 22.2 и 22.4 пункта 1 статьи 333.33 настоящего Кодекса, уплачивается только за осуществление государственного кадастрового учета здания, сооружения или за осуществление одновременно государственного кадастрового учета и государственной регистрации прав на здание, сооружение. Государственная пошлина за осуществление государственного кадастрового учета помещений и (или) машино-мест в таком случае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случае, если при осуществлении государственного кадастрового учета созданных (образованных) здания, сооружения одновременно осуществляются государственный кадастровый учет всех расположенных в них помещений и (или) машино-мест, в том числе помещений, относящихся к имуществу общего пользования, и государственная регистрация прав на такие помещения и (или) машино-места, государственная пошлина уплачивается за осуществление государственного кадастрового учета здания, сооружения в размере, предусмотренном подпунктом 22.2 пункта 1 статьи 333.33 настоящего Кодекса, и за осуществление государственной регистрации прав на каждое такое помещение и (или) каждое такое машино-место в размере, предусмотренном подпунктом 22 пункта 1 статьи 333.33 настоящего Кодекса. Государственная пошлина за осуществление государственного кадастрового учета помещений и (или) машино-мест в данном случае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31.07.2025 N 275-ФЗ)</w:t>
      </w:r>
    </w:p>
    <w:p>
      <w:pPr>
        <w:spacing w:after="120"/>
        <w:ind w:firstLine="709"/>
      </w:pPr>
      <w:r>
        <w:rPr>
          <w:sz w:val="24"/>
        </w:rPr>
        <w:t xml:space="preserve">2. В случае осуществления государственного кадастрового учета всех помещений и (или) машино-мест, расположенных в здании или сооружении, сведения о которых содержатся в Едином государственном реестре недвижимости, государственная пошлина уплачивается в размере, предусмотренном подпунктом 22.2 пункта 1 статьи 333.33 настоящего Кодекса, в отношении каждого такого помещения и (или) машино-места.</w:t>
      </w:r>
    </w:p>
    <w:p>
      <w:pPr>
        <w:spacing w:after="120"/>
        <w:ind w:firstLine="709"/>
      </w:pPr>
      <w:r>
        <w:rPr>
          <w:sz w:val="24"/>
        </w:rPr>
        <w:t xml:space="preserve">В случае осуществления государственной регистрации прав на все помещения и (или) машино-места, сведения о которых содержатся в Едином государственном реестре недвижимости, государственная пошлина уплачивается в размере, предусмотренном подпунктом 22 пункта 1 статьи 333.33 настоящего Кодекса, в отношении каждого такого помещения и (или) машино-места.</w:t>
      </w:r>
    </w:p>
    <w:p>
      <w:pPr>
        <w:spacing w:after="120"/>
        <w:ind w:firstLine="709"/>
      </w:pPr>
      <w:r>
        <w:rPr>
          <w:sz w:val="24"/>
        </w:rPr>
        <w:t xml:space="preserve">В случае осуществления одновременно государственного кадастрового учета и государственной регистрации прав на все помещения и (или) машино-места, расположенные в здании или сооружении, сведения о которых содержатся в Едином государственном реестре недвижимости, государственная пошлина уплачивается в размере, предусмотренном подпунктом 22.4 пункта 1 статьи 333.33 настоящего Кодекса, в отношении каждого такого помещения и (или) машино-места.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результате реконструкции здания, сооружения, строительства здания, сооружения, проводимых поэтапно, изменены их параметры (количество этажей, площадь, высота, произведены надстройка, перестройка, расширение), в связи с чем осуществляются государственный кадастровый учет изменений характеристик таких здания, сооружения и одновременно государственный кадастровый учет изменений характеристик расположенных в них помещений, машино-мест и (или) государственный кадастровый учет созданных (образованных) помещений, машино-мест, государственная пошлина, предусмотренная подпунктом 22.3 пункта 1 статьи 333.33 настоящего Кодекса, уплачивается только за осуществление государственного кадастрового учета в связи с изменением характеристик таких здания, сооружения. Государственная пошлина за осуществление государственного кадастрового учета в связи с изменением характеристик помещений, машино-мест, а также за осуществление государственного кадастрового учета созданных (образованных) помещений, машино-мест в данном случае не уплачивается.</w:t>
      </w:r>
    </w:p>
    <w:p>
      <w:pPr>
        <w:spacing w:after="120"/>
        <w:ind w:firstLine="709"/>
      </w:pPr>
      <w:r>
        <w:rPr>
          <w:sz w:val="24"/>
        </w:rPr>
        <w:t xml:space="preserve">В случае, если в результате реконструкции здания, сооружения, строительства здания, сооружения, проводимых поэтапно, изменены их параметры (количество этажей, площадь, высота, произведены надстройка, перестройка, расширение), в связи с чем осуществляются государственный кадастровый учет изменений характеристик таких здания, сооружения и одновременно государственный кадастровый учет изменений характеристик расположенных в них помещений, машино-мест и (или) одновременно государственный кадастровый учет созданных (образованных) помещений, машино-мест и государственная регистрация прав на них, уплачивается государственная пошлина, предусмотренная подпунктом 22.3 пункта 1 статьи 333.33 настоящего Кодекса, за осуществление государственного кадастрового учета в связи с изменением характеристик таких здания, сооружения, а также государственная пошлина, предусмотренная подпунктом 22 пункта 1 статьи 333.33 настоящего Кодекса, за осуществление государственной регистрации прав в отношении каждого созданного (образованного) помещения, машино-места.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31.07.2025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333.34</dc:title>
  <dc:creator>АРБИТРАЖ! · arbi.ru</dc:creator>
  <cp:lastModifiedBy>АРБИТРАЖ!</cp:lastModifiedBy>
  <dcterms:created xsi:type="dcterms:W3CDTF">2026-10-22T20:21:51.768Z</dcterms:created>
</cp:coreProperties>
</file>